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9E6" w:rsidRPr="002C49E6" w:rsidRDefault="002C49E6" w:rsidP="002C49E6">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2C49E6" w:rsidRPr="002C49E6" w:rsidRDefault="002C49E6" w:rsidP="002C49E6">
      <w:pPr>
        <w:widowControl w:val="0"/>
        <w:spacing w:after="0" w:line="240" w:lineRule="auto"/>
        <w:jc w:val="center"/>
        <w:outlineLvl w:val="0"/>
        <w:rPr>
          <w:rFonts w:eastAsia="Times New Roman"/>
          <w:b/>
          <w:caps/>
          <w:snapToGrid w:val="0"/>
          <w:sz w:val="28"/>
          <w:szCs w:val="24"/>
          <w:lang w:val="en-US" w:eastAsia="en-US"/>
        </w:rPr>
      </w:pPr>
    </w:p>
    <w:p w:rsidR="002C49E6" w:rsidRPr="002C49E6" w:rsidRDefault="002C49E6" w:rsidP="002C49E6">
      <w:pPr>
        <w:widowControl w:val="0"/>
        <w:spacing w:after="0" w:line="240" w:lineRule="auto"/>
        <w:jc w:val="center"/>
        <w:outlineLvl w:val="0"/>
        <w:rPr>
          <w:rFonts w:eastAsia="Times New Roman"/>
          <w:b/>
          <w:caps/>
          <w:snapToGrid w:val="0"/>
          <w:sz w:val="28"/>
          <w:szCs w:val="24"/>
          <w:lang w:val="en-US" w:eastAsia="en-US"/>
        </w:rPr>
      </w:pPr>
      <w:r w:rsidRPr="002C49E6">
        <w:rPr>
          <w:rFonts w:eastAsia="Times New Roman"/>
          <w:b/>
          <w:caps/>
          <w:snapToGrid w:val="0"/>
          <w:sz w:val="28"/>
          <w:szCs w:val="24"/>
          <w:lang w:val="en-US" w:eastAsia="en-US"/>
        </w:rPr>
        <w:t>TeNSILE AND LOW-CYCLE FATIGUE PROPERTIES OF Fe–15Mn–4Si–10Cr–8Ni ALLOY for FATIGUE-RESISTANT SEISMIC DAMPERS</w:t>
      </w:r>
    </w:p>
    <w:p w:rsidR="002C49E6" w:rsidRPr="002C49E6" w:rsidRDefault="002C49E6" w:rsidP="002C49E6">
      <w:pPr>
        <w:widowControl w:val="0"/>
        <w:suppressAutoHyphens/>
        <w:spacing w:after="0" w:line="240" w:lineRule="auto"/>
        <w:jc w:val="both"/>
        <w:rPr>
          <w:rFonts w:eastAsia="Times New Roman"/>
          <w:snapToGrid w:val="0"/>
          <w:szCs w:val="24"/>
          <w:lang w:val="en-US" w:eastAsia="en-US"/>
        </w:rPr>
      </w:pPr>
    </w:p>
    <w:p w:rsidR="002C49E6" w:rsidRPr="002C49E6" w:rsidRDefault="002C49E6" w:rsidP="002C49E6">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2C49E6">
        <w:rPr>
          <w:rFonts w:eastAsia="Times New Roman"/>
          <w:b/>
          <w:snapToGrid w:val="0"/>
          <w:color w:val="333333"/>
          <w:sz w:val="28"/>
          <w:szCs w:val="28"/>
          <w:shd w:val="clear" w:color="auto" w:fill="FFFFFF"/>
          <w:lang w:val="en-US" w:eastAsia="en-US"/>
        </w:rPr>
        <w:t xml:space="preserve">DOI </w:t>
      </w:r>
      <w:r w:rsidR="009E511A">
        <w:rPr>
          <w:rFonts w:eastAsia="Times New Roman"/>
          <w:b/>
          <w:snapToGrid w:val="0"/>
          <w:color w:val="333333"/>
          <w:sz w:val="28"/>
          <w:szCs w:val="28"/>
          <w:shd w:val="clear" w:color="auto" w:fill="FFFFFF"/>
          <w:lang w:val="en-US" w:eastAsia="en-US"/>
        </w:rPr>
        <w:t>10.37153</w:t>
      </w:r>
      <w:r w:rsidRPr="002C49E6">
        <w:rPr>
          <w:rFonts w:eastAsia="Times New Roman"/>
          <w:b/>
          <w:snapToGrid w:val="0"/>
          <w:color w:val="333333"/>
          <w:sz w:val="28"/>
          <w:szCs w:val="28"/>
          <w:shd w:val="clear" w:color="auto" w:fill="FFFFFF"/>
          <w:lang w:val="en-US" w:eastAsia="en-US"/>
        </w:rPr>
        <w:t>/2686-7974-2019-16-324-331</w:t>
      </w:r>
    </w:p>
    <w:p w:rsidR="002C49E6" w:rsidRPr="002C49E6" w:rsidRDefault="002C49E6" w:rsidP="002C49E6">
      <w:pPr>
        <w:widowControl w:val="0"/>
        <w:suppressAutoHyphens/>
        <w:spacing w:after="0" w:line="240" w:lineRule="auto"/>
        <w:jc w:val="both"/>
        <w:rPr>
          <w:rFonts w:eastAsia="Times New Roman"/>
          <w:snapToGrid w:val="0"/>
          <w:szCs w:val="24"/>
          <w:lang w:val="en-US" w:eastAsia="en-US"/>
        </w:rPr>
      </w:pPr>
    </w:p>
    <w:p w:rsidR="002C49E6" w:rsidRPr="002C49E6" w:rsidRDefault="002C49E6" w:rsidP="002C49E6">
      <w:pPr>
        <w:widowControl w:val="0"/>
        <w:suppressAutoHyphens/>
        <w:spacing w:after="0" w:line="240" w:lineRule="auto"/>
        <w:jc w:val="both"/>
        <w:rPr>
          <w:rFonts w:eastAsia="Times New Roman"/>
          <w:snapToGrid w:val="0"/>
          <w:szCs w:val="24"/>
          <w:lang w:val="en-US" w:eastAsia="en-US"/>
        </w:rPr>
      </w:pPr>
    </w:p>
    <w:p w:rsidR="002C49E6" w:rsidRPr="002C49E6" w:rsidRDefault="002C49E6" w:rsidP="002C49E6">
      <w:pPr>
        <w:widowControl w:val="0"/>
        <w:tabs>
          <w:tab w:val="left" w:pos="0"/>
        </w:tabs>
        <w:suppressAutoHyphens/>
        <w:spacing w:after="0" w:line="240" w:lineRule="auto"/>
        <w:jc w:val="center"/>
        <w:rPr>
          <w:rFonts w:eastAsia="Times New Roman"/>
          <w:szCs w:val="24"/>
          <w:lang w:val="en-US" w:eastAsia="en-US"/>
        </w:rPr>
      </w:pPr>
      <w:r w:rsidRPr="002C49E6">
        <w:rPr>
          <w:rFonts w:eastAsia="Times New Roman"/>
          <w:szCs w:val="24"/>
          <w:lang w:val="en-US" w:eastAsia="en-US"/>
        </w:rPr>
        <w:t>Yasuhiko INOUE</w:t>
      </w:r>
      <w:r w:rsidRPr="002C49E6">
        <w:rPr>
          <w:rFonts w:eastAsia="Times New Roman"/>
          <w:szCs w:val="24"/>
          <w:vertAlign w:val="superscript"/>
          <w:lang w:val="en-US" w:eastAsia="en-US"/>
        </w:rPr>
        <w:footnoteReference w:id="1"/>
      </w:r>
      <w:r w:rsidRPr="002C49E6">
        <w:rPr>
          <w:rFonts w:eastAsia="Times New Roman"/>
          <w:szCs w:val="24"/>
          <w:lang w:val="en-US" w:eastAsia="en-US"/>
        </w:rPr>
        <w:t>, Atsumichi KUSHIBE</w:t>
      </w:r>
      <w:r w:rsidRPr="002C49E6">
        <w:rPr>
          <w:rFonts w:eastAsia="Times New Roman"/>
          <w:szCs w:val="24"/>
          <w:vertAlign w:val="superscript"/>
          <w:lang w:val="en-US" w:eastAsia="en-US"/>
        </w:rPr>
        <w:footnoteReference w:id="2"/>
      </w:r>
      <w:r w:rsidRPr="002C49E6">
        <w:rPr>
          <w:rFonts w:eastAsia="Times New Roman"/>
          <w:szCs w:val="24"/>
          <w:lang w:val="en-US" w:eastAsia="en-US"/>
        </w:rPr>
        <w:t>, Takahiro SAWAGUCHI</w:t>
      </w:r>
      <w:r w:rsidRPr="002C49E6">
        <w:rPr>
          <w:rFonts w:eastAsia="Times New Roman"/>
          <w:szCs w:val="24"/>
          <w:vertAlign w:val="superscript"/>
          <w:lang w:val="en-US" w:eastAsia="en-US"/>
        </w:rPr>
        <w:footnoteReference w:id="3"/>
      </w:r>
      <w:r w:rsidRPr="002C49E6">
        <w:rPr>
          <w:rFonts w:eastAsia="Times New Roman"/>
          <w:szCs w:val="24"/>
          <w:lang w:val="en-US" w:eastAsia="en-US"/>
        </w:rPr>
        <w:t>, Terumi NAKAMURA</w:t>
      </w:r>
      <w:r w:rsidRPr="002C49E6">
        <w:rPr>
          <w:rFonts w:eastAsia="Times New Roman"/>
          <w:szCs w:val="24"/>
          <w:vertAlign w:val="superscript"/>
          <w:lang w:val="en-US" w:eastAsia="en-US"/>
        </w:rPr>
        <w:footnoteReference w:id="4"/>
      </w:r>
      <w:r w:rsidRPr="002C49E6">
        <w:rPr>
          <w:rFonts w:eastAsia="Times New Roman"/>
          <w:szCs w:val="24"/>
          <w:lang w:val="en-US" w:eastAsia="en-US"/>
        </w:rPr>
        <w:t xml:space="preserve">, </w:t>
      </w:r>
    </w:p>
    <w:p w:rsidR="002C49E6" w:rsidRPr="002C49E6" w:rsidRDefault="002C49E6" w:rsidP="002C49E6">
      <w:pPr>
        <w:widowControl w:val="0"/>
        <w:tabs>
          <w:tab w:val="left" w:pos="0"/>
        </w:tabs>
        <w:suppressAutoHyphens/>
        <w:spacing w:after="0" w:line="240" w:lineRule="auto"/>
        <w:jc w:val="center"/>
        <w:rPr>
          <w:rFonts w:eastAsia="Times New Roman"/>
          <w:szCs w:val="24"/>
          <w:lang w:val="en-US" w:eastAsia="en-US"/>
        </w:rPr>
      </w:pPr>
      <w:r w:rsidRPr="002C49E6">
        <w:rPr>
          <w:rFonts w:eastAsia="Times New Roman"/>
          <w:szCs w:val="24"/>
          <w:lang w:val="en-US" w:eastAsia="en-US"/>
        </w:rPr>
        <w:t>Hiroaki OTSUKA</w:t>
      </w:r>
      <w:r w:rsidRPr="002C49E6">
        <w:rPr>
          <w:rFonts w:eastAsia="Times New Roman"/>
          <w:szCs w:val="24"/>
          <w:vertAlign w:val="superscript"/>
          <w:lang w:val="en-US" w:eastAsia="en-US"/>
        </w:rPr>
        <w:footnoteReference w:id="5"/>
      </w:r>
      <w:r w:rsidRPr="002C49E6">
        <w:rPr>
          <w:rFonts w:eastAsia="Times New Roman"/>
          <w:szCs w:val="24"/>
          <w:lang w:val="en-US" w:eastAsia="en-US"/>
        </w:rPr>
        <w:t>, Yuya CHIBA</w:t>
      </w:r>
      <w:r w:rsidRPr="002C49E6">
        <w:rPr>
          <w:rFonts w:eastAsia="Times New Roman"/>
          <w:szCs w:val="24"/>
          <w:vertAlign w:val="superscript"/>
          <w:lang w:val="en-US" w:eastAsia="en-US"/>
        </w:rPr>
        <w:footnoteReference w:id="6"/>
      </w:r>
      <w:r w:rsidRPr="002C49E6">
        <w:rPr>
          <w:rFonts w:eastAsia="Times New Roman"/>
          <w:szCs w:val="24"/>
          <w:lang w:val="en-US" w:eastAsia="en-US"/>
        </w:rPr>
        <w:t xml:space="preserve">  and Kenji UMEMURA</w:t>
      </w:r>
      <w:r w:rsidRPr="002C49E6">
        <w:rPr>
          <w:rFonts w:eastAsia="Times New Roman"/>
          <w:szCs w:val="24"/>
          <w:vertAlign w:val="superscript"/>
          <w:lang w:val="en-US" w:eastAsia="en-US"/>
        </w:rPr>
        <w:footnoteReference w:id="7"/>
      </w:r>
    </w:p>
    <w:p w:rsidR="002C49E6" w:rsidRPr="002C49E6" w:rsidRDefault="002C49E6" w:rsidP="002C49E6">
      <w:pPr>
        <w:widowControl w:val="0"/>
        <w:tabs>
          <w:tab w:val="left" w:pos="-720"/>
        </w:tabs>
        <w:suppressAutoHyphens/>
        <w:spacing w:after="0" w:line="240" w:lineRule="auto"/>
        <w:jc w:val="both"/>
        <w:rPr>
          <w:rFonts w:eastAsia="Times New Roman"/>
          <w:snapToGrid w:val="0"/>
          <w:szCs w:val="24"/>
          <w:lang w:val="en-US" w:eastAsia="en-US"/>
        </w:rPr>
      </w:pPr>
    </w:p>
    <w:p w:rsidR="002C49E6" w:rsidRPr="002C49E6" w:rsidRDefault="002C49E6" w:rsidP="002C49E6">
      <w:pPr>
        <w:widowControl w:val="0"/>
        <w:tabs>
          <w:tab w:val="left" w:pos="-720"/>
        </w:tabs>
        <w:suppressAutoHyphens/>
        <w:spacing w:after="0" w:line="240" w:lineRule="auto"/>
        <w:jc w:val="both"/>
        <w:rPr>
          <w:rFonts w:eastAsia="Times New Roman"/>
          <w:snapToGrid w:val="0"/>
          <w:szCs w:val="24"/>
          <w:lang w:val="en-US" w:eastAsia="en-US"/>
        </w:rPr>
      </w:pPr>
    </w:p>
    <w:p w:rsidR="002C49E6" w:rsidRPr="002C49E6" w:rsidRDefault="002C49E6" w:rsidP="002C49E6">
      <w:pPr>
        <w:widowControl w:val="0"/>
        <w:spacing w:after="0" w:line="240" w:lineRule="auto"/>
        <w:jc w:val="center"/>
        <w:outlineLvl w:val="0"/>
        <w:rPr>
          <w:rFonts w:eastAsia="Times New Roman"/>
          <w:b/>
          <w:caps/>
          <w:snapToGrid w:val="0"/>
          <w:kern w:val="28"/>
          <w:szCs w:val="24"/>
          <w:lang w:val="en-US" w:eastAsia="en-US"/>
        </w:rPr>
      </w:pPr>
      <w:r w:rsidRPr="002C49E6">
        <w:rPr>
          <w:rFonts w:eastAsia="Times New Roman"/>
          <w:b/>
          <w:caps/>
          <w:snapToGrid w:val="0"/>
          <w:kern w:val="28"/>
          <w:szCs w:val="24"/>
          <w:lang w:val="en-US" w:eastAsia="en-US"/>
        </w:rPr>
        <w:t>ABSTRACT</w:t>
      </w:r>
    </w:p>
    <w:p w:rsidR="002C49E6" w:rsidRPr="002C49E6" w:rsidRDefault="002C49E6" w:rsidP="002C49E6">
      <w:pPr>
        <w:widowControl w:val="0"/>
        <w:tabs>
          <w:tab w:val="left" w:pos="0"/>
          <w:tab w:val="left" w:pos="720"/>
          <w:tab w:val="left" w:pos="1086"/>
          <w:tab w:val="left" w:pos="1440"/>
        </w:tabs>
        <w:suppressAutoHyphens/>
        <w:spacing w:after="0" w:line="240" w:lineRule="auto"/>
        <w:ind w:left="510" w:right="510" w:hanging="510"/>
        <w:jc w:val="both"/>
        <w:rPr>
          <w:rFonts w:eastAsia="Times New Roman"/>
          <w:snapToGrid w:val="0"/>
          <w:sz w:val="20"/>
          <w:szCs w:val="24"/>
          <w:lang w:val="en-US" w:eastAsia="en-US"/>
        </w:rPr>
      </w:pPr>
    </w:p>
    <w:p w:rsidR="002C49E6" w:rsidRPr="002C49E6" w:rsidRDefault="002C49E6" w:rsidP="002C49E6">
      <w:pPr>
        <w:widowControl w:val="0"/>
        <w:tabs>
          <w:tab w:val="left" w:pos="284"/>
          <w:tab w:val="left" w:pos="567"/>
          <w:tab w:val="left" w:pos="720"/>
          <w:tab w:val="left" w:pos="1086"/>
          <w:tab w:val="left" w:pos="1440"/>
        </w:tabs>
        <w:suppressAutoHyphens/>
        <w:spacing w:after="0" w:line="240" w:lineRule="auto"/>
        <w:ind w:right="-1"/>
        <w:jc w:val="both"/>
        <w:rPr>
          <w:rFonts w:eastAsia="Times New Roman"/>
          <w:snapToGrid w:val="0"/>
          <w:sz w:val="20"/>
          <w:szCs w:val="24"/>
          <w:lang w:val="en-US" w:eastAsia="en-US"/>
        </w:rPr>
      </w:pPr>
      <w:r w:rsidRPr="002C49E6">
        <w:rPr>
          <w:rFonts w:eastAsia="Times New Roman" w:hint="eastAsia"/>
          <w:snapToGrid w:val="0"/>
          <w:sz w:val="20"/>
          <w:szCs w:val="24"/>
          <w:lang w:val="en-US" w:eastAsia="en-US"/>
        </w:rPr>
        <w:t>S</w:t>
      </w:r>
      <w:r w:rsidRPr="002C49E6">
        <w:rPr>
          <w:rFonts w:eastAsia="Times New Roman"/>
          <w:snapToGrid w:val="0"/>
          <w:sz w:val="20"/>
          <w:szCs w:val="24"/>
          <w:lang w:val="en-US" w:eastAsia="en-US"/>
        </w:rPr>
        <w:t xml:space="preserve">teel seismic dampers </w:t>
      </w:r>
      <w:r w:rsidRPr="002C49E6">
        <w:rPr>
          <w:rFonts w:eastAsia="Times New Roman" w:hint="eastAsia"/>
          <w:snapToGrid w:val="0"/>
          <w:sz w:val="20"/>
          <w:szCs w:val="24"/>
          <w:lang w:val="en-US" w:eastAsia="en-US"/>
        </w:rPr>
        <w:t xml:space="preserve">have </w:t>
      </w:r>
      <w:r w:rsidRPr="002C49E6">
        <w:rPr>
          <w:rFonts w:eastAsia="Times New Roman"/>
          <w:snapToGrid w:val="0"/>
          <w:sz w:val="20"/>
          <w:szCs w:val="24"/>
          <w:lang w:val="en-US" w:eastAsia="en-US"/>
        </w:rPr>
        <w:t xml:space="preserve">a </w:t>
      </w:r>
      <w:r w:rsidRPr="002C49E6">
        <w:rPr>
          <w:rFonts w:eastAsia="Times New Roman" w:hint="eastAsia"/>
          <w:snapToGrid w:val="0"/>
          <w:sz w:val="20"/>
          <w:szCs w:val="24"/>
          <w:lang w:val="en-US" w:eastAsia="en-US"/>
        </w:rPr>
        <w:t xml:space="preserve">large load </w:t>
      </w:r>
      <w:r w:rsidRPr="002C49E6">
        <w:rPr>
          <w:rFonts w:eastAsia="Times New Roman"/>
          <w:snapToGrid w:val="0"/>
          <w:sz w:val="20"/>
          <w:szCs w:val="24"/>
          <w:lang w:val="en-US" w:eastAsia="en-US"/>
        </w:rPr>
        <w:t>capacity</w:t>
      </w:r>
      <w:r w:rsidRPr="002C49E6">
        <w:rPr>
          <w:rFonts w:eastAsia="Times New Roman" w:hint="eastAsia"/>
          <w:snapToGrid w:val="0"/>
          <w:sz w:val="20"/>
          <w:szCs w:val="24"/>
          <w:lang w:val="en-US" w:eastAsia="en-US"/>
        </w:rPr>
        <w:t>, high stiffness</w:t>
      </w:r>
      <w:r w:rsidRPr="002C49E6">
        <w:rPr>
          <w:rFonts w:eastAsia="Times New Roman"/>
          <w:snapToGrid w:val="0"/>
          <w:sz w:val="20"/>
          <w:szCs w:val="24"/>
          <w:lang w:val="en-US" w:eastAsia="en-US"/>
        </w:rPr>
        <w:t>,</w:t>
      </w:r>
      <w:r w:rsidRPr="002C49E6">
        <w:rPr>
          <w:rFonts w:eastAsia="Times New Roman" w:hint="eastAsia"/>
          <w:snapToGrid w:val="0"/>
          <w:sz w:val="20"/>
          <w:szCs w:val="24"/>
          <w:lang w:val="en-US" w:eastAsia="en-US"/>
        </w:rPr>
        <w:t xml:space="preserve"> and outstanding cost-</w:t>
      </w:r>
      <w:r w:rsidRPr="002C49E6">
        <w:rPr>
          <w:rFonts w:eastAsia="Times New Roman"/>
          <w:snapToGrid w:val="0"/>
          <w:sz w:val="20"/>
          <w:szCs w:val="24"/>
          <w:lang w:val="en-US" w:eastAsia="en-US"/>
        </w:rPr>
        <w:t>to-</w:t>
      </w:r>
      <w:r w:rsidRPr="002C49E6">
        <w:rPr>
          <w:rFonts w:eastAsia="Times New Roman" w:hint="eastAsia"/>
          <w:snapToGrid w:val="0"/>
          <w:sz w:val="20"/>
          <w:szCs w:val="24"/>
          <w:lang w:val="en-US" w:eastAsia="en-US"/>
        </w:rPr>
        <w:t>performance</w:t>
      </w:r>
      <w:r w:rsidRPr="002C49E6">
        <w:rPr>
          <w:rFonts w:eastAsia="Times New Roman"/>
          <w:snapToGrid w:val="0"/>
          <w:sz w:val="20"/>
          <w:szCs w:val="24"/>
          <w:lang w:val="en-US" w:eastAsia="en-US"/>
        </w:rPr>
        <w:t xml:space="preserve"> ratio, making them </w:t>
      </w:r>
      <w:r w:rsidRPr="002C49E6">
        <w:rPr>
          <w:rFonts w:eastAsia="Times New Roman" w:hint="eastAsia"/>
          <w:snapToGrid w:val="0"/>
          <w:sz w:val="20"/>
          <w:szCs w:val="24"/>
          <w:lang w:val="en-US" w:eastAsia="en-US"/>
        </w:rPr>
        <w:t xml:space="preserve">indispensable for economical </w:t>
      </w:r>
      <w:r w:rsidRPr="002C49E6">
        <w:rPr>
          <w:rFonts w:eastAsia="Times New Roman"/>
          <w:snapToGrid w:val="0"/>
          <w:sz w:val="20"/>
          <w:szCs w:val="24"/>
          <w:lang w:val="en-US" w:eastAsia="en-US"/>
        </w:rPr>
        <w:t>vibration-</w:t>
      </w:r>
      <w:r w:rsidRPr="002C49E6">
        <w:rPr>
          <w:rFonts w:eastAsia="Times New Roman" w:hint="eastAsia"/>
          <w:snapToGrid w:val="0"/>
          <w:sz w:val="20"/>
          <w:szCs w:val="24"/>
          <w:lang w:val="en-US" w:eastAsia="en-US"/>
        </w:rPr>
        <w:t>control</w:t>
      </w:r>
      <w:r w:rsidRPr="002C49E6">
        <w:rPr>
          <w:rFonts w:eastAsia="Times New Roman"/>
          <w:snapToGrid w:val="0"/>
          <w:sz w:val="20"/>
          <w:szCs w:val="24"/>
          <w:lang w:val="en-US" w:eastAsia="en-US"/>
        </w:rPr>
        <w:t xml:space="preserve"> </w:t>
      </w:r>
      <w:r w:rsidRPr="002C49E6">
        <w:rPr>
          <w:rFonts w:eastAsia="Times New Roman" w:hint="eastAsia"/>
          <w:snapToGrid w:val="0"/>
          <w:sz w:val="20"/>
          <w:szCs w:val="24"/>
          <w:lang w:val="en-US" w:eastAsia="en-US"/>
        </w:rPr>
        <w:t>structures.</w:t>
      </w:r>
      <w:r w:rsidRPr="002C49E6">
        <w:rPr>
          <w:rFonts w:eastAsia="Times New Roman"/>
          <w:snapToGrid w:val="0"/>
          <w:sz w:val="20"/>
          <w:szCs w:val="24"/>
          <w:lang w:val="en-US" w:eastAsia="en-US"/>
        </w:rPr>
        <w:t xml:space="preserve"> As a new problem,</w:t>
      </w:r>
      <w:r w:rsidRPr="002C49E6">
        <w:rPr>
          <w:rFonts w:eastAsia="Times New Roman" w:hint="eastAsia"/>
          <w:snapToGrid w:val="0"/>
          <w:sz w:val="20"/>
          <w:szCs w:val="24"/>
          <w:lang w:val="en-US" w:eastAsia="en-US"/>
        </w:rPr>
        <w:t xml:space="preserve"> </w:t>
      </w:r>
      <w:r w:rsidRPr="002C49E6">
        <w:rPr>
          <w:rFonts w:eastAsia="Times New Roman"/>
          <w:snapToGrid w:val="0"/>
          <w:sz w:val="20"/>
          <w:szCs w:val="24"/>
          <w:lang w:val="en-US" w:eastAsia="en-US"/>
        </w:rPr>
        <w:t>long-period ground motion is likely</w:t>
      </w:r>
      <w:r w:rsidRPr="002C49E6">
        <w:rPr>
          <w:rFonts w:eastAsia="Times New Roman" w:hint="eastAsia"/>
          <w:snapToGrid w:val="0"/>
          <w:sz w:val="20"/>
          <w:szCs w:val="24"/>
          <w:lang w:val="en-US" w:eastAsia="en-US"/>
        </w:rPr>
        <w:t xml:space="preserve"> </w:t>
      </w:r>
      <w:r w:rsidRPr="002C49E6">
        <w:rPr>
          <w:rFonts w:eastAsia="Times New Roman"/>
          <w:snapToGrid w:val="0"/>
          <w:sz w:val="20"/>
          <w:szCs w:val="24"/>
          <w:lang w:val="en-US" w:eastAsia="en-US"/>
        </w:rPr>
        <w:t>to cause high-rise buildings to resonate, thereby inducing large-amplitude cyclic deformation of seismic dampers. In earthquake-prone countries, it is difficult to overcome this problem with conventional steel dampers because their fatigue resistance is insufficient. A Fe–15Mn–4Si–10Cr–8Ni alloy with enhanced low-cycle fatigue resistance has been developed</w:t>
      </w:r>
      <w:r w:rsidRPr="002C49E6">
        <w:rPr>
          <w:rFonts w:eastAsia="Times New Roman" w:hint="eastAsia"/>
          <w:snapToGrid w:val="0"/>
          <w:sz w:val="20"/>
          <w:szCs w:val="24"/>
          <w:lang w:val="en-US" w:eastAsia="en-US"/>
        </w:rPr>
        <w:t xml:space="preserve"> </w:t>
      </w:r>
      <w:r w:rsidRPr="002C49E6">
        <w:rPr>
          <w:rFonts w:eastAsia="Times New Roman"/>
          <w:snapToGrid w:val="0"/>
          <w:sz w:val="20"/>
          <w:szCs w:val="24"/>
          <w:lang w:val="en-US" w:eastAsia="en-US"/>
        </w:rPr>
        <w:t>t</w:t>
      </w:r>
      <w:r w:rsidRPr="002C49E6">
        <w:rPr>
          <w:rFonts w:eastAsia="Times New Roman" w:hint="eastAsia"/>
          <w:snapToGrid w:val="0"/>
          <w:sz w:val="20"/>
          <w:szCs w:val="24"/>
          <w:lang w:val="en-US" w:eastAsia="en-US"/>
        </w:rPr>
        <w:t xml:space="preserve">o provide a new steel seismic damper with superior </w:t>
      </w:r>
      <w:r w:rsidRPr="002C49E6">
        <w:rPr>
          <w:rFonts w:eastAsia="Times New Roman"/>
          <w:snapToGrid w:val="0"/>
          <w:sz w:val="20"/>
          <w:szCs w:val="24"/>
          <w:lang w:val="en-US" w:eastAsia="en-US"/>
        </w:rPr>
        <w:t xml:space="preserve">fatigue-resistance against large-amplitude cyclic deformations. This study aims to confirm the tensile and low-cycle fatigue properties of this alloy under conditions that are relevant to seismic dampers. The results of tensile-strength tests of this alloy show that it has a small yield–tensile ratio, a large elongation, and undergoes stable deformation. The results of </w:t>
      </w:r>
      <w:r w:rsidRPr="002C49E6">
        <w:rPr>
          <w:rFonts w:eastAsia="Times New Roman" w:hint="eastAsia"/>
          <w:snapToGrid w:val="0"/>
          <w:color w:val="000000"/>
          <w:sz w:val="20"/>
          <w:szCs w:val="24"/>
          <w:lang w:val="en-US" w:eastAsia="en-US"/>
        </w:rPr>
        <w:t>symmetric tensile</w:t>
      </w:r>
      <w:r w:rsidRPr="002C49E6">
        <w:rPr>
          <w:rFonts w:eastAsia="Times New Roman"/>
          <w:snapToGrid w:val="0"/>
          <w:color w:val="000000"/>
          <w:sz w:val="20"/>
          <w:szCs w:val="24"/>
          <w:lang w:val="en-US" w:eastAsia="en-US"/>
        </w:rPr>
        <w:t>–</w:t>
      </w:r>
      <w:r w:rsidRPr="002C49E6">
        <w:rPr>
          <w:rFonts w:eastAsia="Times New Roman" w:hint="eastAsia"/>
          <w:snapToGrid w:val="0"/>
          <w:color w:val="000000"/>
          <w:sz w:val="20"/>
          <w:szCs w:val="24"/>
          <w:lang w:val="en-US" w:eastAsia="en-US"/>
        </w:rPr>
        <w:t>compressive</w:t>
      </w:r>
      <w:r w:rsidRPr="002C49E6">
        <w:rPr>
          <w:rFonts w:eastAsia="Times New Roman"/>
          <w:snapToGrid w:val="0"/>
          <w:sz w:val="20"/>
          <w:szCs w:val="24"/>
          <w:lang w:val="en-US" w:eastAsia="en-US"/>
        </w:rPr>
        <w:t xml:space="preserve"> </w:t>
      </w:r>
      <w:r w:rsidRPr="002C49E6">
        <w:rPr>
          <w:rFonts w:eastAsia="Times New Roman"/>
          <w:snapToGrid w:val="0"/>
          <w:color w:val="000000"/>
          <w:sz w:val="20"/>
          <w:szCs w:val="24"/>
          <w:lang w:val="en-US" w:eastAsia="en-US"/>
        </w:rPr>
        <w:t>l</w:t>
      </w:r>
      <w:r w:rsidRPr="002C49E6">
        <w:rPr>
          <w:rFonts w:eastAsia="Times New Roman" w:hint="eastAsia"/>
          <w:snapToGrid w:val="0"/>
          <w:color w:val="000000"/>
          <w:sz w:val="20"/>
          <w:szCs w:val="24"/>
          <w:lang w:val="en-US" w:eastAsia="en-US"/>
        </w:rPr>
        <w:t>ow</w:t>
      </w:r>
      <w:r w:rsidRPr="002C49E6">
        <w:rPr>
          <w:rFonts w:eastAsia="Times New Roman"/>
          <w:snapToGrid w:val="0"/>
          <w:color w:val="000000"/>
          <w:sz w:val="20"/>
          <w:szCs w:val="24"/>
          <w:lang w:val="en-US" w:eastAsia="en-US"/>
        </w:rPr>
        <w:t>-cycle</w:t>
      </w:r>
      <w:r w:rsidRPr="002C49E6">
        <w:rPr>
          <w:rFonts w:eastAsia="Times New Roman" w:hint="eastAsia"/>
          <w:snapToGrid w:val="0"/>
          <w:color w:val="000000"/>
          <w:sz w:val="20"/>
          <w:szCs w:val="24"/>
          <w:lang w:val="en-US" w:eastAsia="en-US"/>
        </w:rPr>
        <w:t xml:space="preserve"> fatigue </w:t>
      </w:r>
      <w:r w:rsidRPr="002C49E6">
        <w:rPr>
          <w:rFonts w:eastAsia="Times New Roman"/>
          <w:snapToGrid w:val="0"/>
          <w:color w:val="000000"/>
          <w:sz w:val="20"/>
          <w:szCs w:val="24"/>
          <w:lang w:val="en-US" w:eastAsia="en-US"/>
        </w:rPr>
        <w:t xml:space="preserve">tests </w:t>
      </w:r>
      <w:r w:rsidRPr="002C49E6">
        <w:rPr>
          <w:rFonts w:eastAsia="Times New Roman" w:hint="eastAsia"/>
          <w:snapToGrid w:val="0"/>
          <w:color w:val="000000"/>
          <w:sz w:val="20"/>
          <w:szCs w:val="24"/>
          <w:lang w:val="en-US" w:eastAsia="en-US"/>
        </w:rPr>
        <w:t>of this alloy</w:t>
      </w:r>
      <w:r w:rsidRPr="002C49E6">
        <w:rPr>
          <w:rFonts w:eastAsia="Times New Roman"/>
          <w:snapToGrid w:val="0"/>
          <w:color w:val="000000"/>
          <w:sz w:val="20"/>
          <w:szCs w:val="24"/>
          <w:lang w:val="en-US" w:eastAsia="en-US"/>
        </w:rPr>
        <w:t xml:space="preserve"> show that it </w:t>
      </w:r>
      <w:r w:rsidRPr="002C49E6">
        <w:rPr>
          <w:rFonts w:eastAsia="Times New Roman"/>
          <w:snapToGrid w:val="0"/>
          <w:sz w:val="20"/>
          <w:szCs w:val="24"/>
          <w:lang w:val="en-US" w:eastAsia="en-US"/>
        </w:rPr>
        <w:t>has an outstanding fatigue life in comparison with the steels that are used for conventional steel dampers u</w:t>
      </w:r>
      <w:r w:rsidRPr="002C49E6">
        <w:rPr>
          <w:rFonts w:eastAsia="Times New Roman" w:hint="eastAsia"/>
          <w:snapToGrid w:val="0"/>
          <w:sz w:val="20"/>
          <w:szCs w:val="24"/>
          <w:lang w:val="en-US" w:eastAsia="en-US"/>
        </w:rPr>
        <w:t xml:space="preserve">nder </w:t>
      </w:r>
      <w:r w:rsidRPr="002C49E6">
        <w:rPr>
          <w:rFonts w:eastAsia="Times New Roman"/>
          <w:snapToGrid w:val="0"/>
          <w:sz w:val="20"/>
          <w:szCs w:val="24"/>
          <w:lang w:val="en-US" w:eastAsia="en-US"/>
        </w:rPr>
        <w:t xml:space="preserve">broad </w:t>
      </w:r>
      <w:r w:rsidRPr="002C49E6">
        <w:rPr>
          <w:rFonts w:eastAsia="Times New Roman" w:hint="eastAsia"/>
          <w:snapToGrid w:val="0"/>
          <w:sz w:val="20"/>
          <w:szCs w:val="24"/>
          <w:lang w:val="en-US" w:eastAsia="en-US"/>
        </w:rPr>
        <w:t>conditions</w:t>
      </w:r>
      <w:r w:rsidRPr="002C49E6">
        <w:rPr>
          <w:rFonts w:eastAsia="Times New Roman"/>
          <w:snapToGrid w:val="0"/>
          <w:sz w:val="20"/>
          <w:szCs w:val="24"/>
          <w:lang w:val="en-US" w:eastAsia="en-US"/>
        </w:rPr>
        <w:t>.</w:t>
      </w:r>
      <w:r w:rsidRPr="002C49E6">
        <w:rPr>
          <w:rFonts w:eastAsia="Times New Roman"/>
          <w:snapToGrid w:val="0"/>
          <w:color w:val="000000"/>
          <w:sz w:val="20"/>
          <w:szCs w:val="24"/>
          <w:lang w:val="en-US" w:eastAsia="en-US"/>
        </w:rPr>
        <w:t xml:space="preserve"> The aforementioned </w:t>
      </w:r>
      <w:r w:rsidRPr="002C49E6">
        <w:rPr>
          <w:rFonts w:eastAsia="Times New Roman" w:hint="eastAsia"/>
          <w:snapToGrid w:val="0"/>
          <w:color w:val="000000"/>
          <w:sz w:val="20"/>
          <w:szCs w:val="24"/>
          <w:lang w:val="en-US" w:eastAsia="en-US"/>
        </w:rPr>
        <w:t xml:space="preserve">results confirm that </w:t>
      </w:r>
      <w:r w:rsidRPr="002C49E6">
        <w:rPr>
          <w:rFonts w:eastAsia="Times New Roman"/>
          <w:snapToGrid w:val="0"/>
          <w:color w:val="000000"/>
          <w:sz w:val="20"/>
          <w:szCs w:val="24"/>
          <w:lang w:val="en-US" w:eastAsia="en-US"/>
        </w:rPr>
        <w:t xml:space="preserve">the </w:t>
      </w:r>
      <w:r w:rsidRPr="002C49E6">
        <w:rPr>
          <w:rFonts w:eastAsia="Times New Roman" w:hint="eastAsia"/>
          <w:snapToGrid w:val="0"/>
          <w:color w:val="000000"/>
          <w:sz w:val="20"/>
          <w:szCs w:val="24"/>
          <w:lang w:val="en-US" w:eastAsia="en-US"/>
        </w:rPr>
        <w:t xml:space="preserve">tensile </w:t>
      </w:r>
      <w:r w:rsidRPr="002C49E6">
        <w:rPr>
          <w:rFonts w:eastAsia="Times New Roman"/>
          <w:snapToGrid w:val="0"/>
          <w:color w:val="000000"/>
          <w:sz w:val="20"/>
          <w:szCs w:val="24"/>
          <w:lang w:val="en-US" w:eastAsia="en-US"/>
        </w:rPr>
        <w:t xml:space="preserve">and low-cycle fatigue properties of this </w:t>
      </w:r>
      <w:r w:rsidRPr="002C49E6">
        <w:rPr>
          <w:rFonts w:eastAsia="Times New Roman"/>
          <w:snapToGrid w:val="0"/>
          <w:sz w:val="20"/>
          <w:szCs w:val="24"/>
          <w:lang w:val="en-US" w:eastAsia="en-US"/>
        </w:rPr>
        <w:t>alloy</w:t>
      </w:r>
      <w:r w:rsidRPr="002C49E6">
        <w:rPr>
          <w:rFonts w:eastAsia="Times New Roman" w:hint="eastAsia"/>
          <w:snapToGrid w:val="0"/>
          <w:color w:val="000000"/>
          <w:sz w:val="20"/>
          <w:szCs w:val="24"/>
          <w:lang w:val="en-US" w:eastAsia="en-US"/>
        </w:rPr>
        <w:t xml:space="preserve"> </w:t>
      </w:r>
      <w:r w:rsidRPr="002C49E6">
        <w:rPr>
          <w:rFonts w:eastAsia="Times New Roman"/>
          <w:snapToGrid w:val="0"/>
          <w:color w:val="000000"/>
          <w:sz w:val="20"/>
          <w:szCs w:val="24"/>
          <w:lang w:val="en-US" w:eastAsia="en-US"/>
        </w:rPr>
        <w:t xml:space="preserve">make it </w:t>
      </w:r>
      <w:r w:rsidRPr="002C49E6">
        <w:rPr>
          <w:rFonts w:eastAsia="Times New Roman" w:hint="eastAsia"/>
          <w:snapToGrid w:val="0"/>
          <w:color w:val="000000"/>
          <w:sz w:val="20"/>
          <w:szCs w:val="24"/>
          <w:lang w:val="en-US" w:eastAsia="en-US"/>
        </w:rPr>
        <w:t>suitable for use in seismic dampers.</w:t>
      </w:r>
    </w:p>
    <w:p w:rsidR="002C49E6" w:rsidRPr="002C49E6" w:rsidRDefault="002C49E6" w:rsidP="002C49E6">
      <w:pPr>
        <w:widowControl w:val="0"/>
        <w:tabs>
          <w:tab w:val="left" w:pos="284"/>
          <w:tab w:val="left" w:pos="567"/>
          <w:tab w:val="left" w:pos="720"/>
          <w:tab w:val="left" w:pos="1086"/>
          <w:tab w:val="left" w:pos="1440"/>
        </w:tabs>
        <w:suppressAutoHyphens/>
        <w:spacing w:after="0" w:line="240" w:lineRule="auto"/>
        <w:ind w:right="-1"/>
        <w:jc w:val="both"/>
        <w:rPr>
          <w:rFonts w:eastAsia="Times New Roman"/>
          <w:snapToGrid w:val="0"/>
          <w:sz w:val="20"/>
          <w:szCs w:val="24"/>
          <w:lang w:val="en-US" w:eastAsia="en-US"/>
        </w:rPr>
      </w:pPr>
    </w:p>
    <w:p w:rsidR="002C49E6" w:rsidRPr="002C49E6" w:rsidRDefault="002C49E6" w:rsidP="002C49E6">
      <w:pPr>
        <w:widowControl w:val="0"/>
        <w:tabs>
          <w:tab w:val="left" w:pos="567"/>
          <w:tab w:val="left" w:pos="720"/>
          <w:tab w:val="left" w:pos="1086"/>
          <w:tab w:val="left" w:pos="1440"/>
        </w:tabs>
        <w:suppressAutoHyphens/>
        <w:spacing w:after="0" w:line="240" w:lineRule="auto"/>
        <w:ind w:right="-1"/>
        <w:jc w:val="both"/>
        <w:rPr>
          <w:rFonts w:eastAsia="Times New Roman"/>
          <w:i/>
          <w:snapToGrid w:val="0"/>
          <w:sz w:val="20"/>
          <w:szCs w:val="24"/>
          <w:lang w:val="en-US" w:eastAsia="en-US"/>
        </w:rPr>
      </w:pPr>
      <w:r w:rsidRPr="002C49E6">
        <w:rPr>
          <w:rFonts w:eastAsia="Times New Roman"/>
          <w:i/>
          <w:snapToGrid w:val="0"/>
          <w:sz w:val="20"/>
          <w:szCs w:val="24"/>
          <w:lang w:val="en-US" w:eastAsia="en-US"/>
        </w:rPr>
        <w:t>Keywords: Fe</w:t>
      </w:r>
      <w:r w:rsidRPr="002C49E6">
        <w:rPr>
          <w:rFonts w:eastAsia="Times New Roman"/>
          <w:snapToGrid w:val="0"/>
          <w:sz w:val="20"/>
          <w:szCs w:val="24"/>
          <w:lang w:val="en-US" w:eastAsia="en-US"/>
        </w:rPr>
        <w:t>–</w:t>
      </w:r>
      <w:r w:rsidRPr="002C49E6">
        <w:rPr>
          <w:rFonts w:eastAsia="Times New Roman"/>
          <w:i/>
          <w:snapToGrid w:val="0"/>
          <w:sz w:val="20"/>
          <w:szCs w:val="24"/>
          <w:lang w:val="en-US" w:eastAsia="en-US"/>
        </w:rPr>
        <w:t>Mn</w:t>
      </w:r>
      <w:r w:rsidRPr="002C49E6">
        <w:rPr>
          <w:rFonts w:eastAsia="Times New Roman"/>
          <w:snapToGrid w:val="0"/>
          <w:sz w:val="20"/>
          <w:szCs w:val="24"/>
          <w:lang w:val="en-US" w:eastAsia="en-US"/>
        </w:rPr>
        <w:t>–</w:t>
      </w:r>
      <w:r w:rsidRPr="002C49E6">
        <w:rPr>
          <w:rFonts w:eastAsia="Times New Roman"/>
          <w:i/>
          <w:snapToGrid w:val="0"/>
          <w:sz w:val="20"/>
          <w:szCs w:val="24"/>
          <w:lang w:val="en-US" w:eastAsia="en-US"/>
        </w:rPr>
        <w:t>Si-based alloy; Long-period ground motion; Tensile strength; Low-cycle fatigue property</w:t>
      </w:r>
    </w:p>
    <w:p w:rsidR="002C49E6" w:rsidRPr="002C49E6" w:rsidRDefault="002C49E6" w:rsidP="002C49E6">
      <w:pPr>
        <w:widowControl w:val="0"/>
        <w:spacing w:after="0" w:line="240" w:lineRule="auto"/>
        <w:jc w:val="both"/>
        <w:rPr>
          <w:rFonts w:eastAsia="Times New Roman"/>
          <w:snapToGrid w:val="0"/>
          <w:szCs w:val="24"/>
          <w:lang w:val="en-US" w:eastAsia="en-US"/>
        </w:rPr>
      </w:pPr>
    </w:p>
    <w:p w:rsidR="002C49E6" w:rsidRPr="002C49E6" w:rsidRDefault="002C49E6" w:rsidP="002C49E6">
      <w:pPr>
        <w:widowControl w:val="0"/>
        <w:spacing w:after="0" w:line="240" w:lineRule="auto"/>
        <w:jc w:val="both"/>
        <w:rPr>
          <w:rFonts w:eastAsia="Times New Roman"/>
          <w:snapToGrid w:val="0"/>
          <w:szCs w:val="24"/>
          <w:lang w:val="en-US" w:eastAsia="en-US"/>
        </w:rPr>
      </w:pPr>
    </w:p>
    <w:p w:rsidR="002C49E6" w:rsidRPr="002C49E6" w:rsidRDefault="002C49E6" w:rsidP="002C49E6">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2C49E6">
        <w:rPr>
          <w:rFonts w:eastAsia="Times New Roman"/>
          <w:b/>
          <w:caps/>
          <w:snapToGrid w:val="0"/>
          <w:szCs w:val="24"/>
          <w:lang w:val="en-US" w:eastAsia="en-US"/>
        </w:rPr>
        <w:t xml:space="preserve">1. INTRODUCTION </w:t>
      </w:r>
    </w:p>
    <w:p w:rsidR="002C49E6" w:rsidRPr="002C49E6" w:rsidRDefault="002C49E6" w:rsidP="002C49E6">
      <w:pPr>
        <w:widowControl w:val="0"/>
        <w:spacing w:after="0" w:line="240" w:lineRule="auto"/>
        <w:jc w:val="both"/>
        <w:rPr>
          <w:rFonts w:eastAsia="Times New Roman"/>
          <w:snapToGrid w:val="0"/>
          <w:szCs w:val="24"/>
          <w:lang w:val="en-US" w:eastAsia="en-US"/>
        </w:rPr>
      </w:pPr>
    </w:p>
    <w:p w:rsidR="002C49E6" w:rsidRPr="002C49E6" w:rsidRDefault="002C49E6" w:rsidP="002C49E6">
      <w:pPr>
        <w:widowControl w:val="0"/>
        <w:spacing w:after="0" w:line="240" w:lineRule="auto"/>
        <w:jc w:val="both"/>
        <w:rPr>
          <w:rFonts w:eastAsia="Times New Roman"/>
          <w:snapToGrid w:val="0"/>
          <w:szCs w:val="24"/>
          <w:lang w:val="en-US" w:eastAsia="en-US"/>
        </w:rPr>
      </w:pPr>
      <w:r w:rsidRPr="002C49E6">
        <w:rPr>
          <w:rFonts w:eastAsia="Times New Roman"/>
          <w:snapToGrid w:val="0"/>
          <w:szCs w:val="24"/>
          <w:lang w:val="en-US" w:eastAsia="en-US"/>
        </w:rPr>
        <w:t>Structures for seismic isolation and vibration control to protect buildings from being damaged by earthquakes have become widespread in earthquake-prone countries. Steel seismic dampers have large load capacity, high stiffness, and outstanding cost-to-performance ratio, making such dampers widely used and indispensable in economical vibration-control structures.</w:t>
      </w:r>
    </w:p>
    <w:p w:rsidR="002C49E6" w:rsidRPr="002C49E6" w:rsidRDefault="002C49E6" w:rsidP="002C49E6">
      <w:pPr>
        <w:widowControl w:val="0"/>
        <w:spacing w:after="0" w:line="240" w:lineRule="auto"/>
        <w:jc w:val="both"/>
        <w:rPr>
          <w:rFonts w:eastAsia="Times New Roman"/>
          <w:snapToGrid w:val="0"/>
          <w:szCs w:val="24"/>
          <w:lang w:val="en-US" w:eastAsia="en-US"/>
        </w:rPr>
      </w:pPr>
      <w:r w:rsidRPr="002C49E6">
        <w:rPr>
          <w:rFonts w:eastAsia="Times New Roman"/>
          <w:snapToGrid w:val="0"/>
          <w:szCs w:val="24"/>
          <w:lang w:val="en-US" w:eastAsia="en-US"/>
        </w:rPr>
        <w:t>In recent years, long-period ground motion has emerged as a new problem in that long-period earthquake waves are likely to resonate with the natural period of high-rise buildings, causing them to vibrate for a long time and with large amplitude. In this situation, large-amplitude cyclic deformation occurs in the seismic dampers that are installed in high-rise buildings. It is difficult to overcome this problem with conventional steel</w:t>
      </w:r>
      <w:r w:rsidRPr="002C49E6">
        <w:rPr>
          <w:rFonts w:ascii="MS Mincho" w:eastAsia="MS Mincho" w:hAnsi="MS Mincho"/>
          <w:snapToGrid w:val="0"/>
          <w:szCs w:val="24"/>
          <w:lang w:val="en-US" w:eastAsia="ja-JP"/>
        </w:rPr>
        <w:t xml:space="preserve"> </w:t>
      </w:r>
      <w:r w:rsidRPr="002C49E6">
        <w:rPr>
          <w:rFonts w:eastAsia="Times New Roman"/>
          <w:snapToGrid w:val="0"/>
          <w:szCs w:val="24"/>
          <w:lang w:val="en-US" w:eastAsia="en-US"/>
        </w:rPr>
        <w:t>dampers because their fatigue resistance is insufficient. Consequently, to withstand these large-amplitude cyclic deformations, the durability of seismic dampers must be increased appreciably.</w:t>
      </w:r>
    </w:p>
    <w:p w:rsidR="002C49E6" w:rsidRPr="002C49E6" w:rsidRDefault="002C49E6" w:rsidP="002C49E6">
      <w:pPr>
        <w:widowControl w:val="0"/>
        <w:spacing w:after="0" w:line="240" w:lineRule="auto"/>
        <w:jc w:val="both"/>
        <w:rPr>
          <w:rFonts w:eastAsia="Times New Roman"/>
          <w:snapToGrid w:val="0"/>
          <w:szCs w:val="24"/>
          <w:lang w:val="en-US" w:eastAsia="en-US"/>
        </w:rPr>
      </w:pPr>
      <w:r w:rsidRPr="002C49E6">
        <w:rPr>
          <w:rFonts w:eastAsia="Times New Roman"/>
          <w:snapToGrid w:val="0"/>
          <w:szCs w:val="24"/>
          <w:lang w:val="en-US" w:eastAsia="en-US"/>
        </w:rPr>
        <w:t xml:space="preserve">Against this background, we focus on the Fe–15Mn–4Si–10Cr–8Ni alloy to develop a new steel seismic </w:t>
      </w:r>
      <w:r w:rsidRPr="002C49E6">
        <w:rPr>
          <w:rFonts w:eastAsia="Times New Roman"/>
          <w:snapToGrid w:val="0"/>
          <w:szCs w:val="24"/>
          <w:lang w:val="en-US" w:eastAsia="en-US"/>
        </w:rPr>
        <w:lastRenderedPageBreak/>
        <w:t xml:space="preserve">damper with superior fatigue resistance. This alloy was developed based on Fe–Mn–Si-based shape-memory alloys. This study aims to confirm the tensile and low-cycle fatigue properties of this alloy regarding its use in seismic dampers. We conducted </w:t>
      </w:r>
      <w:r w:rsidRPr="002C49E6">
        <w:rPr>
          <w:rFonts w:eastAsia="MS Mincho" w:hint="eastAsia"/>
          <w:snapToGrid w:val="0"/>
          <w:szCs w:val="24"/>
          <w:lang w:val="en-US" w:eastAsia="ja-JP"/>
        </w:rPr>
        <w:t>uniaxial static tensile</w:t>
      </w:r>
      <w:r w:rsidRPr="002C49E6">
        <w:rPr>
          <w:rFonts w:eastAsia="MS Mincho"/>
          <w:snapToGrid w:val="0"/>
          <w:szCs w:val="24"/>
          <w:lang w:val="en-US" w:eastAsia="ja-JP"/>
        </w:rPr>
        <w:t>-</w:t>
      </w:r>
      <w:r w:rsidRPr="002C49E6">
        <w:rPr>
          <w:rFonts w:eastAsia="MS Mincho" w:hint="eastAsia"/>
          <w:snapToGrid w:val="0"/>
          <w:szCs w:val="24"/>
          <w:lang w:val="en-US" w:eastAsia="ja-JP"/>
        </w:rPr>
        <w:t>strength test</w:t>
      </w:r>
      <w:r w:rsidRPr="002C49E6">
        <w:rPr>
          <w:rFonts w:eastAsia="MS Mincho"/>
          <w:snapToGrid w:val="0"/>
          <w:szCs w:val="24"/>
          <w:lang w:val="en-US" w:eastAsia="ja-JP"/>
        </w:rPr>
        <w:t xml:space="preserve"> and </w:t>
      </w:r>
      <w:r w:rsidRPr="002C49E6">
        <w:rPr>
          <w:rFonts w:eastAsia="Times New Roman"/>
          <w:snapToGrid w:val="0"/>
          <w:szCs w:val="24"/>
          <w:lang w:val="en-US" w:eastAsia="en-US"/>
        </w:rPr>
        <w:t>low-cycle fatigue tests on this alloy, and the results show that its tensile properties and low-cycle fatigue characteristics make it suitable for use in seismic dampers against large-amplitude cyclic deformation caused by long-period persistent earthquake motion.</w:t>
      </w:r>
    </w:p>
    <w:p w:rsidR="002C49E6" w:rsidRPr="002C49E6" w:rsidRDefault="002C49E6" w:rsidP="002C49E6">
      <w:pPr>
        <w:widowControl w:val="0"/>
        <w:spacing w:after="0" w:line="240" w:lineRule="auto"/>
        <w:jc w:val="both"/>
        <w:rPr>
          <w:rFonts w:eastAsia="Times New Roman"/>
          <w:snapToGrid w:val="0"/>
          <w:szCs w:val="24"/>
          <w:lang w:val="en-US" w:eastAsia="en-US"/>
        </w:rPr>
      </w:pPr>
    </w:p>
    <w:p w:rsidR="002C49E6" w:rsidRPr="002C49E6" w:rsidRDefault="002C49E6" w:rsidP="002C49E6">
      <w:pPr>
        <w:widowControl w:val="0"/>
        <w:spacing w:after="0" w:line="240" w:lineRule="auto"/>
        <w:jc w:val="both"/>
        <w:rPr>
          <w:rFonts w:eastAsia="Times New Roman"/>
          <w:snapToGrid w:val="0"/>
          <w:szCs w:val="24"/>
          <w:lang w:val="en-US" w:eastAsia="en-US"/>
        </w:rPr>
      </w:pPr>
    </w:p>
    <w:p w:rsidR="002C49E6" w:rsidRPr="002C49E6" w:rsidRDefault="002C49E6" w:rsidP="002C49E6">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2C49E6">
        <w:rPr>
          <w:rFonts w:eastAsia="Times New Roman"/>
          <w:b/>
          <w:caps/>
          <w:snapToGrid w:val="0"/>
          <w:szCs w:val="24"/>
          <w:lang w:val="en-US" w:eastAsia="en-US"/>
        </w:rPr>
        <w:t>2. FATIGUE RESISTANT FE–MN–SI-BASED ALLOY</w:t>
      </w:r>
    </w:p>
    <w:p w:rsidR="002C49E6" w:rsidRPr="002C49E6" w:rsidRDefault="002C49E6" w:rsidP="002C49E6">
      <w:pPr>
        <w:widowControl w:val="0"/>
        <w:spacing w:after="0" w:line="240" w:lineRule="auto"/>
        <w:jc w:val="both"/>
        <w:rPr>
          <w:rFonts w:eastAsia="Times New Roman"/>
          <w:snapToGrid w:val="0"/>
          <w:szCs w:val="24"/>
          <w:lang w:val="en-US" w:eastAsia="en-US"/>
        </w:rPr>
      </w:pPr>
    </w:p>
    <w:p w:rsidR="002C49E6" w:rsidRPr="002C49E6" w:rsidRDefault="002C49E6" w:rsidP="002C49E6">
      <w:pPr>
        <w:widowControl w:val="0"/>
        <w:spacing w:after="0" w:line="240" w:lineRule="auto"/>
        <w:jc w:val="both"/>
        <w:rPr>
          <w:rFonts w:eastAsia="Times New Roman"/>
          <w:snapToGrid w:val="0"/>
          <w:szCs w:val="24"/>
          <w:lang w:val="en-US" w:eastAsia="en-US"/>
        </w:rPr>
      </w:pPr>
      <w:r w:rsidRPr="002C49E6">
        <w:rPr>
          <w:rFonts w:eastAsia="MS Mincho"/>
          <w:snapToGrid w:val="0"/>
          <w:szCs w:val="24"/>
          <w:lang w:val="en-US" w:eastAsia="ja-JP"/>
        </w:rPr>
        <w:t>We focused on fatigue-resistant Fe</w:t>
      </w:r>
      <w:r w:rsidRPr="002C49E6">
        <w:rPr>
          <w:rFonts w:eastAsia="Times New Roman"/>
          <w:snapToGrid w:val="0"/>
          <w:szCs w:val="24"/>
          <w:lang w:val="en-US" w:eastAsia="en-US"/>
        </w:rPr>
        <w:t>–</w:t>
      </w:r>
      <w:r w:rsidRPr="002C49E6">
        <w:rPr>
          <w:rFonts w:eastAsia="MS Mincho"/>
          <w:snapToGrid w:val="0"/>
          <w:szCs w:val="24"/>
          <w:lang w:val="en-US" w:eastAsia="ja-JP"/>
        </w:rPr>
        <w:t>Mn</w:t>
      </w:r>
      <w:r w:rsidRPr="002C49E6">
        <w:rPr>
          <w:rFonts w:eastAsia="Times New Roman"/>
          <w:snapToGrid w:val="0"/>
          <w:szCs w:val="24"/>
          <w:lang w:val="en-US" w:eastAsia="en-US"/>
        </w:rPr>
        <w:t>–</w:t>
      </w:r>
      <w:r w:rsidRPr="002C49E6">
        <w:rPr>
          <w:rFonts w:eastAsia="MS Mincho"/>
          <w:snapToGrid w:val="0"/>
          <w:szCs w:val="24"/>
          <w:lang w:val="en-US" w:eastAsia="ja-JP"/>
        </w:rPr>
        <w:t>Si-based alloys to</w:t>
      </w:r>
      <w:r w:rsidRPr="002C49E6">
        <w:rPr>
          <w:rFonts w:eastAsia="Times New Roman" w:hint="eastAsia"/>
          <w:snapToGrid w:val="0"/>
          <w:szCs w:val="24"/>
          <w:lang w:val="en-US" w:eastAsia="en-US"/>
        </w:rPr>
        <w:t xml:space="preserve"> provide a new steel seismic damper with superior </w:t>
      </w:r>
      <w:r w:rsidRPr="002C49E6">
        <w:rPr>
          <w:rFonts w:eastAsia="Times New Roman"/>
          <w:snapToGrid w:val="0"/>
          <w:szCs w:val="24"/>
          <w:lang w:val="en-US" w:eastAsia="en-US"/>
        </w:rPr>
        <w:t>fatigue</w:t>
      </w:r>
      <w:r w:rsidRPr="002C49E6">
        <w:rPr>
          <w:rFonts w:eastAsia="Times New Roman" w:hint="eastAsia"/>
          <w:snapToGrid w:val="0"/>
          <w:szCs w:val="24"/>
          <w:lang w:val="en-US" w:eastAsia="en-US"/>
        </w:rPr>
        <w:t xml:space="preserve"> </w:t>
      </w:r>
      <w:r w:rsidRPr="002C49E6">
        <w:rPr>
          <w:rFonts w:eastAsia="Times New Roman"/>
          <w:snapToGrid w:val="0"/>
          <w:szCs w:val="24"/>
          <w:lang w:val="en-US" w:eastAsia="en-US"/>
        </w:rPr>
        <w:t xml:space="preserve">resistance against large-amplitude cyclic deformations. </w:t>
      </w:r>
      <w:r w:rsidRPr="002C49E6">
        <w:rPr>
          <w:rFonts w:eastAsia="MS Mincho"/>
          <w:snapToGrid w:val="0"/>
          <w:szCs w:val="24"/>
          <w:lang w:val="en-US" w:eastAsia="ja-JP"/>
        </w:rPr>
        <w:t>Fe</w:t>
      </w:r>
      <w:r w:rsidRPr="002C49E6">
        <w:rPr>
          <w:rFonts w:eastAsia="Times New Roman"/>
          <w:snapToGrid w:val="0"/>
          <w:szCs w:val="24"/>
          <w:lang w:val="en-US" w:eastAsia="en-US"/>
        </w:rPr>
        <w:t>–</w:t>
      </w:r>
      <w:r w:rsidRPr="002C49E6">
        <w:rPr>
          <w:rFonts w:eastAsia="MS Mincho"/>
          <w:snapToGrid w:val="0"/>
          <w:szCs w:val="24"/>
          <w:lang w:val="en-US" w:eastAsia="ja-JP"/>
        </w:rPr>
        <w:t>Mn</w:t>
      </w:r>
      <w:r w:rsidRPr="002C49E6">
        <w:rPr>
          <w:rFonts w:eastAsia="Times New Roman"/>
          <w:snapToGrid w:val="0"/>
          <w:szCs w:val="24"/>
          <w:lang w:val="en-US" w:eastAsia="en-US"/>
        </w:rPr>
        <w:t>–</w:t>
      </w:r>
      <w:r w:rsidRPr="002C49E6">
        <w:rPr>
          <w:rFonts w:eastAsia="MS Mincho"/>
          <w:snapToGrid w:val="0"/>
          <w:szCs w:val="24"/>
          <w:lang w:val="en-US" w:eastAsia="ja-JP"/>
        </w:rPr>
        <w:t>Si-based</w:t>
      </w:r>
      <w:r w:rsidRPr="002C49E6">
        <w:rPr>
          <w:rFonts w:eastAsia="Times New Roman"/>
          <w:snapToGrid w:val="0"/>
          <w:szCs w:val="24"/>
          <w:lang w:val="en-US" w:eastAsia="en-US"/>
        </w:rPr>
        <w:t xml:space="preserve"> alloys are low-cost ferrous shape-memory alloys that are applicable to large structural components. Their shape memory is associated with the deformation-induced </w:t>
      </w:r>
      <w:r w:rsidRPr="002C49E6">
        <w:rPr>
          <w:rFonts w:ascii="Symbol" w:eastAsia="Times New Roman" w:hAnsi="Symbol"/>
          <w:snapToGrid w:val="0"/>
          <w:szCs w:val="24"/>
          <w:lang w:val="en-US" w:eastAsia="en-US"/>
        </w:rPr>
        <w:t></w:t>
      </w:r>
      <w:r w:rsidRPr="002C49E6">
        <w:rPr>
          <w:rFonts w:eastAsia="Times New Roman" w:hint="eastAsia"/>
          <w:snapToGrid w:val="0"/>
          <w:szCs w:val="24"/>
          <w:lang w:val="en-US" w:eastAsia="en-US"/>
        </w:rPr>
        <w:t>→</w:t>
      </w:r>
      <w:r w:rsidRPr="002C49E6">
        <w:rPr>
          <w:rFonts w:ascii="Symbol" w:eastAsia="Times New Roman" w:hAnsi="Symbol"/>
          <w:snapToGrid w:val="0"/>
          <w:szCs w:val="24"/>
          <w:lang w:val="en-US" w:eastAsia="en-US"/>
        </w:rPr>
        <w:t></w:t>
      </w:r>
      <w:r w:rsidRPr="002C49E6">
        <w:rPr>
          <w:rFonts w:eastAsia="Times New Roman"/>
          <w:snapToGrid w:val="0"/>
          <w:szCs w:val="24"/>
          <w:lang w:val="en-US" w:eastAsia="en-US"/>
        </w:rPr>
        <w:t xml:space="preserve"> martensitic transformation and its reversion on subsequent heating. Additionally, this transformation in </w:t>
      </w:r>
      <w:r w:rsidRPr="002C49E6">
        <w:rPr>
          <w:rFonts w:eastAsia="MS Mincho"/>
          <w:snapToGrid w:val="0"/>
          <w:szCs w:val="24"/>
          <w:lang w:val="en-US" w:eastAsia="ja-JP"/>
        </w:rPr>
        <w:t>Fe</w:t>
      </w:r>
      <w:r w:rsidRPr="002C49E6">
        <w:rPr>
          <w:rFonts w:eastAsia="Times New Roman"/>
          <w:snapToGrid w:val="0"/>
          <w:szCs w:val="24"/>
          <w:lang w:val="en-US" w:eastAsia="en-US"/>
        </w:rPr>
        <w:t>–</w:t>
      </w:r>
      <w:r w:rsidRPr="002C49E6">
        <w:rPr>
          <w:rFonts w:eastAsia="MS Mincho"/>
          <w:snapToGrid w:val="0"/>
          <w:szCs w:val="24"/>
          <w:lang w:val="en-US" w:eastAsia="ja-JP"/>
        </w:rPr>
        <w:t>Mn</w:t>
      </w:r>
      <w:r w:rsidRPr="002C49E6">
        <w:rPr>
          <w:rFonts w:eastAsia="Times New Roman"/>
          <w:snapToGrid w:val="0"/>
          <w:szCs w:val="24"/>
          <w:lang w:val="en-US" w:eastAsia="en-US"/>
        </w:rPr>
        <w:t>–</w:t>
      </w:r>
      <w:r w:rsidRPr="002C49E6">
        <w:rPr>
          <w:rFonts w:eastAsia="MS Mincho"/>
          <w:snapToGrid w:val="0"/>
          <w:szCs w:val="24"/>
          <w:lang w:val="en-US" w:eastAsia="ja-JP"/>
        </w:rPr>
        <w:t>Si-based alloy</w:t>
      </w:r>
      <w:r w:rsidRPr="002C49E6">
        <w:rPr>
          <w:rFonts w:eastAsia="Times New Roman"/>
          <w:snapToGrid w:val="0"/>
          <w:szCs w:val="24"/>
          <w:lang w:val="en-US" w:eastAsia="en-US"/>
        </w:rPr>
        <w:t xml:space="preserve"> has been reported to lead to the reverse transformation via counter-directional deformation (Sawaguchi et al. 2006). Recently, reversible two-way martensitic transformation under cyclic tensile–compressive loading has also been shown to improve low-cycle fatigue life (Sawaguchi et al. 2015).</w:t>
      </w:r>
    </w:p>
    <w:p w:rsidR="002C49E6" w:rsidRPr="002C49E6" w:rsidRDefault="002C49E6" w:rsidP="002C49E6">
      <w:pPr>
        <w:widowControl w:val="0"/>
        <w:spacing w:after="0" w:line="240" w:lineRule="auto"/>
        <w:jc w:val="both"/>
        <w:rPr>
          <w:rFonts w:eastAsia="Times New Roman"/>
          <w:snapToGrid w:val="0"/>
          <w:szCs w:val="24"/>
          <w:lang w:val="en-US" w:eastAsia="en-US"/>
        </w:rPr>
      </w:pPr>
      <w:r w:rsidRPr="002C49E6">
        <w:rPr>
          <w:rFonts w:eastAsia="Times New Roman"/>
          <w:snapToGrid w:val="0"/>
          <w:szCs w:val="24"/>
          <w:lang w:val="en-US" w:eastAsia="en-US"/>
        </w:rPr>
        <w:t>Based on these findings, a Fe–15Mn–4Si–10Cr–8Ni alloy was developed for use in steel seismic dampers with superior fatigue resistance (Sawaguchi et al. 2015). The development was carried out in consideration of mass production for use in large-scale structural members for buildings. The manganese concentration of the developed alloy was kept at 15 % mass by weight, thereby allowing for mass production in electric arc furnaces.</w:t>
      </w:r>
    </w:p>
    <w:p w:rsidR="002C49E6" w:rsidRPr="002C49E6" w:rsidRDefault="002C49E6" w:rsidP="002C49E6">
      <w:pPr>
        <w:widowControl w:val="0"/>
        <w:spacing w:after="0" w:line="240" w:lineRule="auto"/>
        <w:jc w:val="both"/>
        <w:rPr>
          <w:rFonts w:eastAsia="Times New Roman"/>
          <w:snapToGrid w:val="0"/>
          <w:szCs w:val="24"/>
          <w:lang w:val="en-US" w:eastAsia="ja-JP"/>
        </w:rPr>
      </w:pPr>
      <w:r w:rsidRPr="002C49E6">
        <w:rPr>
          <w:rFonts w:eastAsia="MS Mincho" w:hint="eastAsia"/>
          <w:snapToGrid w:val="0"/>
          <w:szCs w:val="24"/>
          <w:lang w:val="en-US" w:eastAsia="ja-JP"/>
        </w:rPr>
        <w:t>We have developed shear-panel-type fatigue-resistant Fe</w:t>
      </w:r>
      <w:r w:rsidRPr="002C49E6">
        <w:rPr>
          <w:rFonts w:eastAsia="Times New Roman"/>
          <w:snapToGrid w:val="0"/>
          <w:szCs w:val="24"/>
          <w:lang w:val="en-US" w:eastAsia="en-US"/>
        </w:rPr>
        <w:t>–</w:t>
      </w:r>
      <w:r w:rsidRPr="002C49E6">
        <w:rPr>
          <w:rFonts w:eastAsia="MS Mincho" w:hint="eastAsia"/>
          <w:snapToGrid w:val="0"/>
          <w:szCs w:val="24"/>
          <w:lang w:val="en-US" w:eastAsia="ja-JP"/>
        </w:rPr>
        <w:t>15Mn</w:t>
      </w:r>
      <w:r w:rsidRPr="002C49E6">
        <w:rPr>
          <w:rFonts w:eastAsia="Times New Roman"/>
          <w:snapToGrid w:val="0"/>
          <w:szCs w:val="24"/>
          <w:lang w:val="en-US" w:eastAsia="en-US"/>
        </w:rPr>
        <w:t>–</w:t>
      </w:r>
      <w:r w:rsidRPr="002C49E6">
        <w:rPr>
          <w:rFonts w:eastAsia="MS Mincho" w:hint="eastAsia"/>
          <w:snapToGrid w:val="0"/>
          <w:szCs w:val="24"/>
          <w:lang w:val="en-US" w:eastAsia="ja-JP"/>
        </w:rPr>
        <w:t>4Si</w:t>
      </w:r>
      <w:r w:rsidRPr="002C49E6">
        <w:rPr>
          <w:rFonts w:eastAsia="Times New Roman"/>
          <w:snapToGrid w:val="0"/>
          <w:szCs w:val="24"/>
          <w:lang w:val="en-US" w:eastAsia="en-US"/>
        </w:rPr>
        <w:t>–</w:t>
      </w:r>
      <w:r w:rsidRPr="002C49E6">
        <w:rPr>
          <w:rFonts w:eastAsia="MS Mincho" w:hint="eastAsia"/>
          <w:snapToGrid w:val="0"/>
          <w:szCs w:val="24"/>
          <w:lang w:val="en-US" w:eastAsia="ja-JP"/>
        </w:rPr>
        <w:t>10Cr</w:t>
      </w:r>
      <w:r w:rsidRPr="002C49E6">
        <w:rPr>
          <w:rFonts w:eastAsia="Times New Roman"/>
          <w:snapToGrid w:val="0"/>
          <w:szCs w:val="24"/>
          <w:lang w:val="en-US" w:eastAsia="en-US"/>
        </w:rPr>
        <w:t>–</w:t>
      </w:r>
      <w:r w:rsidRPr="002C49E6">
        <w:rPr>
          <w:rFonts w:eastAsia="MS Mincho" w:hint="eastAsia"/>
          <w:snapToGrid w:val="0"/>
          <w:szCs w:val="24"/>
          <w:lang w:val="en-US" w:eastAsia="ja-JP"/>
        </w:rPr>
        <w:t>8Ni alloy seismic dampers</w:t>
      </w:r>
      <w:r w:rsidRPr="002C49E6">
        <w:rPr>
          <w:rFonts w:eastAsia="MS Mincho"/>
          <w:snapToGrid w:val="0"/>
          <w:szCs w:val="24"/>
          <w:lang w:val="en-US" w:eastAsia="ja-JP"/>
        </w:rPr>
        <w:t xml:space="preserve"> as shear panels</w:t>
      </w:r>
      <w:r w:rsidRPr="002C49E6">
        <w:rPr>
          <w:rFonts w:eastAsia="MS Mincho" w:hint="eastAsia"/>
          <w:snapToGrid w:val="0"/>
          <w:szCs w:val="24"/>
          <w:lang w:val="en-US" w:eastAsia="ja-JP"/>
        </w:rPr>
        <w:t xml:space="preserve"> to count</w:t>
      </w:r>
      <w:r w:rsidRPr="002C49E6">
        <w:rPr>
          <w:rFonts w:eastAsia="MS Mincho"/>
          <w:snapToGrid w:val="0"/>
          <w:szCs w:val="24"/>
          <w:lang w:val="en-US" w:eastAsia="ja-JP"/>
        </w:rPr>
        <w:t xml:space="preserve">eract long-period ground motion </w:t>
      </w:r>
      <w:r w:rsidRPr="002C49E6">
        <w:rPr>
          <w:rFonts w:eastAsia="Times New Roman"/>
          <w:snapToGrid w:val="0"/>
          <w:szCs w:val="24"/>
          <w:lang w:val="en-US" w:eastAsia="en-US"/>
        </w:rPr>
        <w:t>(Sawaguchi et al. 2016)</w:t>
      </w:r>
      <w:r w:rsidRPr="002C49E6">
        <w:rPr>
          <w:rFonts w:eastAsia="MS Mincho"/>
          <w:snapToGrid w:val="0"/>
          <w:szCs w:val="24"/>
          <w:lang w:val="en-US" w:eastAsia="ja-JP"/>
        </w:rPr>
        <w:t xml:space="preserve">. </w:t>
      </w:r>
      <w:r w:rsidRPr="002C49E6">
        <w:rPr>
          <w:rFonts w:eastAsia="MS Mincho" w:hint="eastAsia"/>
          <w:snapToGrid w:val="0"/>
          <w:szCs w:val="24"/>
          <w:lang w:val="en-US" w:eastAsia="ja-JP"/>
        </w:rPr>
        <w:t>I</w:t>
      </w:r>
      <w:r w:rsidRPr="002C49E6">
        <w:rPr>
          <w:rFonts w:eastAsia="MS Mincho"/>
          <w:snapToGrid w:val="0"/>
          <w:szCs w:val="24"/>
          <w:lang w:val="en-US" w:eastAsia="ja-JP"/>
        </w:rPr>
        <w:t xml:space="preserve">n 2014, 16 seismic dampers made of this alloy were installed in a 196-m-tall high-rise building in Nagoya, Japan. </w:t>
      </w:r>
      <w:r w:rsidRPr="002C49E6">
        <w:rPr>
          <w:rFonts w:eastAsia="Times New Roman"/>
          <w:snapToGrid w:val="0"/>
          <w:szCs w:val="24"/>
          <w:lang w:val="en-US" w:eastAsia="en-US"/>
        </w:rPr>
        <w:t xml:space="preserve">In that project, Fe–15Mn–4Si–10Cr–8Ni alloy rolled plates were produced for industrial use by an electric arc furnace with an authorized capacity of 10 tons. Figure 1 shows the </w:t>
      </w:r>
      <w:r w:rsidRPr="002C49E6">
        <w:rPr>
          <w:rFonts w:eastAsia="Times New Roman"/>
          <w:snapToGrid w:val="0"/>
          <w:szCs w:val="24"/>
          <w:lang w:val="en-US" w:eastAsia="ja-JP"/>
        </w:rPr>
        <w:t xml:space="preserve">appearance of a </w:t>
      </w:r>
      <w:r w:rsidRPr="002C49E6">
        <w:rPr>
          <w:rFonts w:eastAsia="Times New Roman"/>
          <w:snapToGrid w:val="0"/>
          <w:szCs w:val="24"/>
          <w:lang w:val="en-US" w:eastAsia="en-US"/>
        </w:rPr>
        <w:t>Fe–15Mn–4Si–10Cr–8N</w:t>
      </w:r>
      <w:r w:rsidRPr="002C49E6">
        <w:rPr>
          <w:rFonts w:eastAsia="Times New Roman"/>
          <w:snapToGrid w:val="0"/>
          <w:szCs w:val="24"/>
          <w:lang w:val="en-US" w:eastAsia="ja-JP"/>
        </w:rPr>
        <w:t xml:space="preserve"> alloy rolled plate </w:t>
      </w:r>
      <w:r w:rsidRPr="002C49E6">
        <w:rPr>
          <w:rFonts w:eastAsia="Times New Roman"/>
          <w:snapToGrid w:val="0"/>
          <w:szCs w:val="24"/>
          <w:lang w:val="en-US" w:eastAsia="en-US"/>
        </w:rPr>
        <w:t>produced by the electric arc furnace and</w:t>
      </w:r>
      <w:r w:rsidRPr="002C49E6">
        <w:rPr>
          <w:rFonts w:eastAsia="Times New Roman"/>
          <w:snapToGrid w:val="0"/>
          <w:szCs w:val="24"/>
          <w:lang w:val="en-US" w:eastAsia="ja-JP"/>
        </w:rPr>
        <w:t xml:space="preserve"> having a thickness of 18.5 mm, a width of 1,260 mm, and a length of 3,550 mm.</w:t>
      </w:r>
    </w:p>
    <w:p w:rsidR="002C49E6" w:rsidRPr="002C49E6" w:rsidRDefault="002C49E6" w:rsidP="002C49E6">
      <w:pPr>
        <w:widowControl w:val="0"/>
        <w:spacing w:after="0" w:line="240" w:lineRule="auto"/>
        <w:jc w:val="both"/>
        <w:rPr>
          <w:rFonts w:eastAsia="Times New Roman"/>
          <w:snapToGrid w:val="0"/>
          <w:szCs w:val="24"/>
          <w:lang w:val="en-US" w:eastAsia="ja-JP"/>
        </w:rPr>
      </w:pPr>
    </w:p>
    <w:tbl>
      <w:tblPr>
        <w:tblW w:w="0" w:type="auto"/>
        <w:jc w:val="center"/>
        <w:tblLayout w:type="fixed"/>
        <w:tblLook w:val="0000" w:firstRow="0" w:lastRow="0" w:firstColumn="0" w:lastColumn="0" w:noHBand="0" w:noVBand="0"/>
      </w:tblPr>
      <w:tblGrid>
        <w:gridCol w:w="8647"/>
      </w:tblGrid>
      <w:tr w:rsidR="002C49E6" w:rsidRPr="002C49E6" w:rsidTr="00FF6B28">
        <w:trPr>
          <w:cantSplit/>
          <w:trHeight w:val="2545"/>
          <w:jc w:val="center"/>
        </w:trPr>
        <w:tc>
          <w:tcPr>
            <w:tcW w:w="8647" w:type="dxa"/>
            <w:vAlign w:val="center"/>
          </w:tcPr>
          <w:p w:rsidR="002C49E6" w:rsidRPr="002C49E6" w:rsidRDefault="002C49E6" w:rsidP="002C49E6">
            <w:pPr>
              <w:widowControl w:val="0"/>
              <w:tabs>
                <w:tab w:val="left" w:pos="0"/>
                <w:tab w:val="left" w:pos="720"/>
                <w:tab w:val="left" w:pos="1086"/>
                <w:tab w:val="left" w:pos="1440"/>
              </w:tabs>
              <w:suppressAutoHyphens/>
              <w:spacing w:after="0" w:line="240" w:lineRule="auto"/>
              <w:jc w:val="center"/>
              <w:rPr>
                <w:rFonts w:eastAsia="MS Mincho"/>
                <w:b/>
                <w:snapToGrid w:val="0"/>
                <w:szCs w:val="24"/>
                <w:lang w:val="en-US" w:eastAsia="ja-JP"/>
              </w:rPr>
            </w:pPr>
            <w:r w:rsidRPr="002C49E6">
              <w:rPr>
                <w:rFonts w:eastAsia="Times New Roman"/>
                <w:noProof/>
                <w:snapToGrid w:val="0"/>
                <w:szCs w:val="24"/>
              </w:rPr>
              <w:drawing>
                <wp:inline distT="0" distB="0" distL="0" distR="0" wp14:anchorId="23EB37B4" wp14:editId="11C4A76C">
                  <wp:extent cx="3284621" cy="1961334"/>
                  <wp:effectExtent l="0" t="0" r="0" b="1270"/>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38" t="3167" r="1087"/>
                          <a:stretch/>
                        </pic:blipFill>
                        <pic:spPr bwMode="auto">
                          <a:xfrm>
                            <a:off x="0" y="0"/>
                            <a:ext cx="3340765" cy="1994859"/>
                          </a:xfrm>
                          <a:prstGeom prst="rect">
                            <a:avLst/>
                          </a:prstGeom>
                          <a:ln>
                            <a:noFill/>
                          </a:ln>
                          <a:extLst>
                            <a:ext uri="{53640926-AAD7-44D8-BBD7-CCE9431645EC}">
                              <a14:shadowObscured xmlns:a14="http://schemas.microsoft.com/office/drawing/2010/main"/>
                            </a:ext>
                          </a:extLst>
                        </pic:spPr>
                      </pic:pic>
                    </a:graphicData>
                  </a:graphic>
                </wp:inline>
              </w:drawing>
            </w:r>
          </w:p>
        </w:tc>
      </w:tr>
    </w:tbl>
    <w:p w:rsidR="002C49E6" w:rsidRPr="002C49E6" w:rsidRDefault="002C49E6" w:rsidP="002C49E6">
      <w:pPr>
        <w:widowControl w:val="0"/>
        <w:tabs>
          <w:tab w:val="left" w:pos="0"/>
        </w:tabs>
        <w:suppressAutoHyphens/>
        <w:spacing w:after="0" w:line="240" w:lineRule="auto"/>
        <w:jc w:val="both"/>
        <w:rPr>
          <w:rFonts w:eastAsia="Times New Roman"/>
          <w:snapToGrid w:val="0"/>
          <w:szCs w:val="24"/>
          <w:lang w:val="en-US" w:eastAsia="ja-JP"/>
        </w:rPr>
      </w:pPr>
    </w:p>
    <w:p w:rsidR="002C49E6" w:rsidRPr="002C49E6" w:rsidRDefault="002C49E6" w:rsidP="002C49E6">
      <w:pPr>
        <w:widowControl w:val="0"/>
        <w:spacing w:after="0" w:line="240" w:lineRule="auto"/>
        <w:jc w:val="center"/>
        <w:rPr>
          <w:rFonts w:eastAsia="Times New Roman"/>
          <w:snapToGrid w:val="0"/>
          <w:sz w:val="20"/>
          <w:szCs w:val="20"/>
          <w:lang w:val="en-US" w:eastAsia="ja-JP"/>
        </w:rPr>
      </w:pPr>
      <w:r w:rsidRPr="002C49E6">
        <w:rPr>
          <w:rFonts w:eastAsia="Times New Roman"/>
          <w:snapToGrid w:val="0"/>
          <w:sz w:val="20"/>
          <w:szCs w:val="20"/>
          <w:lang w:val="en-US" w:eastAsia="en-US"/>
        </w:rPr>
        <w:t>Figure 1. Fe–15Mn–4Si–10Cr–8Ni alloy rolled plate produced in an electric arc furnace</w:t>
      </w:r>
    </w:p>
    <w:p w:rsidR="002C49E6" w:rsidRPr="002C49E6" w:rsidRDefault="002C49E6" w:rsidP="002C49E6">
      <w:pPr>
        <w:widowControl w:val="0"/>
        <w:spacing w:after="0" w:line="240" w:lineRule="auto"/>
        <w:jc w:val="both"/>
        <w:rPr>
          <w:rFonts w:eastAsia="Times New Roman"/>
          <w:snapToGrid w:val="0"/>
          <w:szCs w:val="24"/>
          <w:lang w:val="en-US" w:eastAsia="en-US"/>
        </w:rPr>
      </w:pPr>
    </w:p>
    <w:p w:rsidR="002C49E6" w:rsidRPr="002C49E6" w:rsidRDefault="002C49E6" w:rsidP="002C49E6">
      <w:pPr>
        <w:widowControl w:val="0"/>
        <w:spacing w:after="0" w:line="240" w:lineRule="auto"/>
        <w:jc w:val="both"/>
        <w:rPr>
          <w:rFonts w:eastAsia="Times New Roman"/>
          <w:snapToGrid w:val="0"/>
          <w:szCs w:val="24"/>
          <w:lang w:val="en-US" w:eastAsia="ja-JP"/>
        </w:rPr>
      </w:pPr>
      <w:r w:rsidRPr="002C49E6">
        <w:rPr>
          <w:rFonts w:eastAsia="Times New Roman"/>
          <w:snapToGrid w:val="0"/>
          <w:szCs w:val="24"/>
          <w:lang w:val="en-US" w:eastAsia="ja-JP"/>
        </w:rPr>
        <w:t>Recently, it has become possible to produce these alloy rolled plates by using continuous casting, a general industrial method for producing rolled plates made of stainless steel. This progress regarding mass production has resulted in large rolled plates with low cost and excellent dimensional accuracy.</w:t>
      </w:r>
    </w:p>
    <w:p w:rsidR="002C49E6" w:rsidRPr="002C49E6" w:rsidRDefault="002C49E6" w:rsidP="002C49E6">
      <w:pPr>
        <w:widowControl w:val="0"/>
        <w:spacing w:after="0" w:line="240" w:lineRule="auto"/>
        <w:jc w:val="both"/>
        <w:rPr>
          <w:rFonts w:ascii="MS Mincho" w:eastAsia="MS Mincho" w:hAnsi="MS Mincho"/>
          <w:snapToGrid w:val="0"/>
          <w:szCs w:val="24"/>
          <w:lang w:val="en-US" w:eastAsia="ja-JP"/>
        </w:rPr>
      </w:pPr>
      <w:r w:rsidRPr="002C49E6">
        <w:rPr>
          <w:rFonts w:eastAsia="Times New Roman"/>
          <w:snapToGrid w:val="0"/>
          <w:szCs w:val="24"/>
          <w:lang w:val="en-US" w:eastAsia="ja-JP"/>
        </w:rPr>
        <w:t xml:space="preserve">Figure 2 shows the appearance of a </w:t>
      </w:r>
      <w:r w:rsidRPr="002C49E6">
        <w:rPr>
          <w:rFonts w:eastAsia="MS Mincho" w:hint="eastAsia"/>
          <w:snapToGrid w:val="0"/>
          <w:szCs w:val="24"/>
          <w:lang w:val="en-US" w:eastAsia="ja-JP"/>
        </w:rPr>
        <w:t>Fe</w:t>
      </w:r>
      <w:r w:rsidRPr="002C49E6">
        <w:rPr>
          <w:rFonts w:eastAsia="Times New Roman"/>
          <w:snapToGrid w:val="0"/>
          <w:szCs w:val="24"/>
          <w:lang w:val="en-US" w:eastAsia="en-US"/>
        </w:rPr>
        <w:t>–</w:t>
      </w:r>
      <w:r w:rsidRPr="002C49E6">
        <w:rPr>
          <w:rFonts w:eastAsia="MS Mincho" w:hint="eastAsia"/>
          <w:snapToGrid w:val="0"/>
          <w:szCs w:val="24"/>
          <w:lang w:val="en-US" w:eastAsia="ja-JP"/>
        </w:rPr>
        <w:t>15Mn</w:t>
      </w:r>
      <w:r w:rsidRPr="002C49E6">
        <w:rPr>
          <w:rFonts w:eastAsia="Times New Roman"/>
          <w:snapToGrid w:val="0"/>
          <w:szCs w:val="24"/>
          <w:lang w:val="en-US" w:eastAsia="en-US"/>
        </w:rPr>
        <w:t>–</w:t>
      </w:r>
      <w:r w:rsidRPr="002C49E6">
        <w:rPr>
          <w:rFonts w:eastAsia="MS Mincho" w:hint="eastAsia"/>
          <w:snapToGrid w:val="0"/>
          <w:szCs w:val="24"/>
          <w:lang w:val="en-US" w:eastAsia="ja-JP"/>
        </w:rPr>
        <w:t>4Si</w:t>
      </w:r>
      <w:r w:rsidRPr="002C49E6">
        <w:rPr>
          <w:rFonts w:eastAsia="Times New Roman"/>
          <w:snapToGrid w:val="0"/>
          <w:szCs w:val="24"/>
          <w:lang w:val="en-US" w:eastAsia="en-US"/>
        </w:rPr>
        <w:t>–</w:t>
      </w:r>
      <w:r w:rsidRPr="002C49E6">
        <w:rPr>
          <w:rFonts w:eastAsia="MS Mincho" w:hint="eastAsia"/>
          <w:snapToGrid w:val="0"/>
          <w:szCs w:val="24"/>
          <w:lang w:val="en-US" w:eastAsia="ja-JP"/>
        </w:rPr>
        <w:t>10Cr</w:t>
      </w:r>
      <w:r w:rsidRPr="002C49E6">
        <w:rPr>
          <w:rFonts w:eastAsia="Times New Roman"/>
          <w:snapToGrid w:val="0"/>
          <w:szCs w:val="24"/>
          <w:lang w:val="en-US" w:eastAsia="en-US"/>
        </w:rPr>
        <w:t>–</w:t>
      </w:r>
      <w:r w:rsidRPr="002C49E6">
        <w:rPr>
          <w:rFonts w:eastAsia="MS Mincho" w:hint="eastAsia"/>
          <w:snapToGrid w:val="0"/>
          <w:szCs w:val="24"/>
          <w:lang w:val="en-US" w:eastAsia="ja-JP"/>
        </w:rPr>
        <w:t>8Ni</w:t>
      </w:r>
      <w:r w:rsidRPr="002C49E6">
        <w:rPr>
          <w:rFonts w:eastAsia="Times New Roman"/>
          <w:snapToGrid w:val="0"/>
          <w:szCs w:val="24"/>
          <w:lang w:val="en-US" w:eastAsia="ja-JP"/>
        </w:rPr>
        <w:t xml:space="preserve"> rolled plate produced by continuous casting using a melting furnace with an authorized capacity of 60 tons. These plates are 23 mm thick, 1,300 mm wide, and 10,000 mm long, and their dimensional accuracy and surface condition are good. Moreover, these plates satisfy the same quality-control standards as do structural steels for use in buildings. The specimens used in the present study were taken from </w:t>
      </w:r>
      <w:r w:rsidRPr="002C49E6">
        <w:rPr>
          <w:rFonts w:eastAsia="MS Mincho" w:hint="eastAsia"/>
          <w:snapToGrid w:val="0"/>
          <w:szCs w:val="24"/>
          <w:lang w:val="en-US" w:eastAsia="ja-JP"/>
        </w:rPr>
        <w:t>Fe</w:t>
      </w:r>
      <w:r w:rsidRPr="002C49E6">
        <w:rPr>
          <w:rFonts w:eastAsia="Times New Roman"/>
          <w:snapToGrid w:val="0"/>
          <w:szCs w:val="24"/>
          <w:lang w:val="en-US" w:eastAsia="en-US"/>
        </w:rPr>
        <w:t>–</w:t>
      </w:r>
      <w:r w:rsidRPr="002C49E6">
        <w:rPr>
          <w:rFonts w:eastAsia="MS Mincho" w:hint="eastAsia"/>
          <w:snapToGrid w:val="0"/>
          <w:szCs w:val="24"/>
          <w:lang w:val="en-US" w:eastAsia="ja-JP"/>
        </w:rPr>
        <w:t>15Mn</w:t>
      </w:r>
      <w:r w:rsidRPr="002C49E6">
        <w:rPr>
          <w:rFonts w:eastAsia="Times New Roman"/>
          <w:snapToGrid w:val="0"/>
          <w:szCs w:val="24"/>
          <w:lang w:val="en-US" w:eastAsia="en-US"/>
        </w:rPr>
        <w:t>–</w:t>
      </w:r>
      <w:r w:rsidRPr="002C49E6">
        <w:rPr>
          <w:rFonts w:eastAsia="MS Mincho" w:hint="eastAsia"/>
          <w:snapToGrid w:val="0"/>
          <w:szCs w:val="24"/>
          <w:lang w:val="en-US" w:eastAsia="ja-JP"/>
        </w:rPr>
        <w:t>4Si</w:t>
      </w:r>
      <w:r w:rsidRPr="002C49E6">
        <w:rPr>
          <w:rFonts w:eastAsia="Times New Roman"/>
          <w:snapToGrid w:val="0"/>
          <w:szCs w:val="24"/>
          <w:lang w:val="en-US" w:eastAsia="en-US"/>
        </w:rPr>
        <w:t>–</w:t>
      </w:r>
      <w:r w:rsidRPr="002C49E6">
        <w:rPr>
          <w:rFonts w:eastAsia="MS Mincho" w:hint="eastAsia"/>
          <w:snapToGrid w:val="0"/>
          <w:szCs w:val="24"/>
          <w:lang w:val="en-US" w:eastAsia="ja-JP"/>
        </w:rPr>
        <w:t>10Cr</w:t>
      </w:r>
      <w:r w:rsidRPr="002C49E6">
        <w:rPr>
          <w:rFonts w:eastAsia="Times New Roman"/>
          <w:snapToGrid w:val="0"/>
          <w:szCs w:val="24"/>
          <w:lang w:val="en-US" w:eastAsia="en-US"/>
        </w:rPr>
        <w:t>–</w:t>
      </w:r>
      <w:r w:rsidRPr="002C49E6">
        <w:rPr>
          <w:rFonts w:eastAsia="MS Mincho" w:hint="eastAsia"/>
          <w:snapToGrid w:val="0"/>
          <w:szCs w:val="24"/>
          <w:lang w:val="en-US" w:eastAsia="ja-JP"/>
        </w:rPr>
        <w:t>8Ni</w:t>
      </w:r>
      <w:r w:rsidRPr="002C49E6">
        <w:rPr>
          <w:rFonts w:eastAsia="Times New Roman"/>
          <w:snapToGrid w:val="0"/>
          <w:szCs w:val="24"/>
          <w:lang w:val="en-US" w:eastAsia="ja-JP"/>
        </w:rPr>
        <w:t xml:space="preserve"> alloy rolled plates produced using continuous casting process.</w:t>
      </w:r>
    </w:p>
    <w:p w:rsidR="002C49E6" w:rsidRPr="002C49E6" w:rsidRDefault="002C49E6" w:rsidP="002C49E6">
      <w:pPr>
        <w:widowControl w:val="0"/>
        <w:tabs>
          <w:tab w:val="left" w:pos="0"/>
        </w:tabs>
        <w:suppressAutoHyphens/>
        <w:spacing w:after="0" w:line="240" w:lineRule="auto"/>
        <w:jc w:val="both"/>
        <w:rPr>
          <w:rFonts w:eastAsia="Times New Roman"/>
          <w:snapToGrid w:val="0"/>
          <w:szCs w:val="24"/>
          <w:lang w:val="en-US" w:eastAsia="ja-JP"/>
        </w:rPr>
      </w:pPr>
    </w:p>
    <w:tbl>
      <w:tblPr>
        <w:tblW w:w="0" w:type="auto"/>
        <w:jc w:val="center"/>
        <w:tblLayout w:type="fixed"/>
        <w:tblLook w:val="0000" w:firstRow="0" w:lastRow="0" w:firstColumn="0" w:lastColumn="0" w:noHBand="0" w:noVBand="0"/>
      </w:tblPr>
      <w:tblGrid>
        <w:gridCol w:w="8647"/>
      </w:tblGrid>
      <w:tr w:rsidR="002C49E6" w:rsidRPr="002C49E6" w:rsidTr="00FF6B28">
        <w:trPr>
          <w:cantSplit/>
          <w:trHeight w:val="2545"/>
          <w:jc w:val="center"/>
        </w:trPr>
        <w:tc>
          <w:tcPr>
            <w:tcW w:w="8647" w:type="dxa"/>
          </w:tcPr>
          <w:p w:rsidR="002C49E6" w:rsidRPr="002C49E6" w:rsidRDefault="002C49E6" w:rsidP="002C49E6">
            <w:pPr>
              <w:widowControl w:val="0"/>
              <w:tabs>
                <w:tab w:val="left" w:pos="0"/>
                <w:tab w:val="left" w:pos="720"/>
                <w:tab w:val="left" w:pos="1086"/>
                <w:tab w:val="left" w:pos="1440"/>
              </w:tabs>
              <w:suppressAutoHyphens/>
              <w:spacing w:after="0" w:line="240" w:lineRule="auto"/>
              <w:jc w:val="center"/>
              <w:rPr>
                <w:rFonts w:eastAsia="MS Mincho"/>
                <w:b/>
                <w:snapToGrid w:val="0"/>
                <w:szCs w:val="24"/>
                <w:lang w:val="en-US" w:eastAsia="ja-JP"/>
              </w:rPr>
            </w:pPr>
            <w:r w:rsidRPr="002C49E6">
              <w:rPr>
                <w:rFonts w:eastAsia="Times New Roman"/>
                <w:noProof/>
                <w:snapToGrid w:val="0"/>
                <w:szCs w:val="24"/>
              </w:rPr>
              <w:drawing>
                <wp:inline distT="0" distB="0" distL="0" distR="0" wp14:anchorId="40578219" wp14:editId="7826C4D5">
                  <wp:extent cx="1731552" cy="2189748"/>
                  <wp:effectExtent l="0" t="0" r="2540" b="127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38491" cy="2198523"/>
                          </a:xfrm>
                          <a:prstGeom prst="rect">
                            <a:avLst/>
                          </a:prstGeom>
                        </pic:spPr>
                      </pic:pic>
                    </a:graphicData>
                  </a:graphic>
                </wp:inline>
              </w:drawing>
            </w:r>
          </w:p>
        </w:tc>
      </w:tr>
    </w:tbl>
    <w:p w:rsidR="002C49E6" w:rsidRPr="002C49E6" w:rsidRDefault="002C49E6" w:rsidP="002C49E6">
      <w:pPr>
        <w:widowControl w:val="0"/>
        <w:spacing w:after="0" w:line="240" w:lineRule="auto"/>
        <w:jc w:val="both"/>
        <w:rPr>
          <w:rFonts w:eastAsia="MS Mincho"/>
          <w:snapToGrid w:val="0"/>
          <w:szCs w:val="24"/>
          <w:lang w:val="en-US" w:eastAsia="ja-JP"/>
        </w:rPr>
      </w:pPr>
    </w:p>
    <w:p w:rsidR="002C49E6" w:rsidRPr="002C49E6" w:rsidRDefault="002C49E6" w:rsidP="002C49E6">
      <w:pPr>
        <w:widowControl w:val="0"/>
        <w:spacing w:after="0" w:line="240" w:lineRule="auto"/>
        <w:jc w:val="center"/>
        <w:rPr>
          <w:rFonts w:eastAsia="Times New Roman"/>
          <w:snapToGrid w:val="0"/>
          <w:sz w:val="20"/>
          <w:szCs w:val="20"/>
          <w:lang w:val="en-US" w:eastAsia="ja-JP"/>
        </w:rPr>
      </w:pPr>
      <w:r w:rsidRPr="002C49E6">
        <w:rPr>
          <w:rFonts w:eastAsia="Times New Roman"/>
          <w:snapToGrid w:val="0"/>
          <w:sz w:val="20"/>
          <w:szCs w:val="20"/>
          <w:lang w:val="en-US" w:eastAsia="en-US"/>
        </w:rPr>
        <w:t xml:space="preserve">Figure 2. Fe–15Mn–4Si–10Cr–8Ni alloy rolled plate produced by </w:t>
      </w:r>
      <w:r w:rsidRPr="002C49E6">
        <w:rPr>
          <w:rFonts w:eastAsia="Times New Roman"/>
          <w:snapToGrid w:val="0"/>
          <w:sz w:val="20"/>
          <w:szCs w:val="20"/>
          <w:lang w:val="en-US" w:eastAsia="ja-JP"/>
        </w:rPr>
        <w:t>continuous casting</w:t>
      </w:r>
    </w:p>
    <w:p w:rsidR="002C49E6" w:rsidRPr="002C49E6" w:rsidRDefault="002C49E6" w:rsidP="002C49E6">
      <w:pPr>
        <w:widowControl w:val="0"/>
        <w:spacing w:after="0" w:line="240" w:lineRule="auto"/>
        <w:jc w:val="both"/>
        <w:rPr>
          <w:rFonts w:eastAsia="MS Mincho"/>
          <w:snapToGrid w:val="0"/>
          <w:szCs w:val="24"/>
          <w:lang w:val="en-US" w:eastAsia="ja-JP"/>
        </w:rPr>
      </w:pPr>
    </w:p>
    <w:p w:rsidR="002C49E6" w:rsidRPr="002C49E6" w:rsidRDefault="002C49E6" w:rsidP="002C49E6">
      <w:pPr>
        <w:widowControl w:val="0"/>
        <w:spacing w:after="0" w:line="240" w:lineRule="auto"/>
        <w:jc w:val="both"/>
        <w:rPr>
          <w:rFonts w:eastAsia="MS Mincho"/>
          <w:snapToGrid w:val="0"/>
          <w:szCs w:val="24"/>
          <w:lang w:val="en-US" w:eastAsia="ja-JP"/>
        </w:rPr>
      </w:pPr>
    </w:p>
    <w:p w:rsidR="002C49E6" w:rsidRPr="002C49E6" w:rsidRDefault="002C49E6" w:rsidP="002C49E6">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2C49E6">
        <w:rPr>
          <w:rFonts w:eastAsia="Times New Roman"/>
          <w:b/>
          <w:caps/>
          <w:snapToGrid w:val="0"/>
          <w:szCs w:val="24"/>
          <w:lang w:val="en-US" w:eastAsia="en-US"/>
        </w:rPr>
        <w:t>3. TENSILE AND LOW-CYCLE FATIGUE TESTS</w:t>
      </w:r>
    </w:p>
    <w:p w:rsidR="002C49E6" w:rsidRPr="002C49E6" w:rsidRDefault="002C49E6" w:rsidP="002C49E6">
      <w:pPr>
        <w:widowControl w:val="0"/>
        <w:spacing w:after="0" w:line="240" w:lineRule="auto"/>
        <w:jc w:val="both"/>
        <w:rPr>
          <w:rFonts w:eastAsia="Times New Roman"/>
          <w:snapToGrid w:val="0"/>
          <w:szCs w:val="24"/>
          <w:lang w:val="en-US" w:eastAsia="en-US"/>
        </w:rPr>
      </w:pPr>
    </w:p>
    <w:p w:rsidR="002C49E6" w:rsidRPr="002C49E6" w:rsidRDefault="002C49E6" w:rsidP="002C49E6">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2C49E6">
        <w:rPr>
          <w:rFonts w:eastAsia="Times New Roman"/>
          <w:b/>
          <w:i/>
          <w:snapToGrid w:val="0"/>
          <w:szCs w:val="24"/>
          <w:lang w:val="en-US" w:eastAsia="en-US"/>
        </w:rPr>
        <w:t>3.1 Tensile-strength tests</w:t>
      </w:r>
    </w:p>
    <w:p w:rsidR="002C49E6" w:rsidRPr="002C49E6" w:rsidRDefault="002C49E6" w:rsidP="002C49E6">
      <w:pPr>
        <w:widowControl w:val="0"/>
        <w:tabs>
          <w:tab w:val="left" w:pos="0"/>
        </w:tabs>
        <w:suppressAutoHyphens/>
        <w:spacing w:after="0" w:line="240" w:lineRule="auto"/>
        <w:jc w:val="both"/>
        <w:rPr>
          <w:rFonts w:eastAsia="Times New Roman"/>
          <w:snapToGrid w:val="0"/>
          <w:szCs w:val="24"/>
          <w:lang w:val="en-US" w:eastAsia="en-US"/>
        </w:rPr>
      </w:pPr>
    </w:p>
    <w:p w:rsidR="002C49E6" w:rsidRPr="002C49E6" w:rsidRDefault="002C49E6" w:rsidP="002C49E6">
      <w:pPr>
        <w:widowControl w:val="0"/>
        <w:spacing w:after="0" w:line="240" w:lineRule="auto"/>
        <w:jc w:val="both"/>
        <w:rPr>
          <w:rFonts w:eastAsia="Times New Roman"/>
          <w:snapToGrid w:val="0"/>
          <w:color w:val="C00000"/>
          <w:szCs w:val="24"/>
          <w:lang w:val="en-US" w:eastAsia="ja-JP"/>
        </w:rPr>
      </w:pPr>
      <w:r w:rsidRPr="002C49E6">
        <w:rPr>
          <w:rFonts w:eastAsia="MS Mincho"/>
          <w:snapToGrid w:val="0"/>
          <w:szCs w:val="24"/>
          <w:lang w:val="en-US" w:eastAsia="ja-JP"/>
        </w:rPr>
        <w:t>We conducted an u</w:t>
      </w:r>
      <w:r w:rsidRPr="002C49E6">
        <w:rPr>
          <w:rFonts w:eastAsia="MS Mincho" w:hint="eastAsia"/>
          <w:snapToGrid w:val="0"/>
          <w:szCs w:val="24"/>
          <w:lang w:val="en-US" w:eastAsia="ja-JP"/>
        </w:rPr>
        <w:t>niaxial static tensile</w:t>
      </w:r>
      <w:r w:rsidRPr="002C49E6">
        <w:rPr>
          <w:rFonts w:eastAsia="MS Mincho"/>
          <w:snapToGrid w:val="0"/>
          <w:szCs w:val="24"/>
          <w:lang w:val="en-US" w:eastAsia="ja-JP"/>
        </w:rPr>
        <w:t>-</w:t>
      </w:r>
      <w:r w:rsidRPr="002C49E6">
        <w:rPr>
          <w:rFonts w:eastAsia="MS Mincho" w:hint="eastAsia"/>
          <w:snapToGrid w:val="0"/>
          <w:szCs w:val="24"/>
          <w:lang w:val="en-US" w:eastAsia="ja-JP"/>
        </w:rPr>
        <w:t xml:space="preserve">strength test </w:t>
      </w:r>
      <w:r w:rsidRPr="002C49E6">
        <w:rPr>
          <w:rFonts w:eastAsia="MS Mincho"/>
          <w:snapToGrid w:val="0"/>
          <w:szCs w:val="24"/>
          <w:lang w:val="en-US" w:eastAsia="ja-JP"/>
        </w:rPr>
        <w:t>on</w:t>
      </w:r>
      <w:r w:rsidRPr="002C49E6">
        <w:rPr>
          <w:rFonts w:eastAsia="MS Mincho" w:hint="eastAsia"/>
          <w:snapToGrid w:val="0"/>
          <w:szCs w:val="24"/>
          <w:lang w:val="en-US" w:eastAsia="ja-JP"/>
        </w:rPr>
        <w:t xml:space="preserve"> the Fe</w:t>
      </w:r>
      <w:r w:rsidRPr="002C49E6">
        <w:rPr>
          <w:rFonts w:eastAsia="Times New Roman"/>
          <w:snapToGrid w:val="0"/>
          <w:szCs w:val="24"/>
          <w:lang w:val="en-US" w:eastAsia="en-US"/>
        </w:rPr>
        <w:t>–</w:t>
      </w:r>
      <w:r w:rsidRPr="002C49E6">
        <w:rPr>
          <w:rFonts w:eastAsia="MS Mincho" w:hint="eastAsia"/>
          <w:snapToGrid w:val="0"/>
          <w:szCs w:val="24"/>
          <w:lang w:val="en-US" w:eastAsia="ja-JP"/>
        </w:rPr>
        <w:t>15Mn</w:t>
      </w:r>
      <w:r w:rsidRPr="002C49E6">
        <w:rPr>
          <w:rFonts w:eastAsia="Times New Roman"/>
          <w:snapToGrid w:val="0"/>
          <w:szCs w:val="24"/>
          <w:lang w:val="en-US" w:eastAsia="en-US"/>
        </w:rPr>
        <w:t>–</w:t>
      </w:r>
      <w:r w:rsidRPr="002C49E6">
        <w:rPr>
          <w:rFonts w:eastAsia="MS Mincho" w:hint="eastAsia"/>
          <w:snapToGrid w:val="0"/>
          <w:szCs w:val="24"/>
          <w:lang w:val="en-US" w:eastAsia="ja-JP"/>
        </w:rPr>
        <w:t>4Si</w:t>
      </w:r>
      <w:r w:rsidRPr="002C49E6">
        <w:rPr>
          <w:rFonts w:eastAsia="Times New Roman"/>
          <w:snapToGrid w:val="0"/>
          <w:szCs w:val="24"/>
          <w:lang w:val="en-US" w:eastAsia="en-US"/>
        </w:rPr>
        <w:t>–</w:t>
      </w:r>
      <w:r w:rsidRPr="002C49E6">
        <w:rPr>
          <w:rFonts w:eastAsia="MS Mincho" w:hint="eastAsia"/>
          <w:snapToGrid w:val="0"/>
          <w:szCs w:val="24"/>
          <w:lang w:val="en-US" w:eastAsia="ja-JP"/>
        </w:rPr>
        <w:t>10Cr</w:t>
      </w:r>
      <w:r w:rsidRPr="002C49E6">
        <w:rPr>
          <w:rFonts w:eastAsia="Times New Roman"/>
          <w:snapToGrid w:val="0"/>
          <w:szCs w:val="24"/>
          <w:lang w:val="en-US" w:eastAsia="en-US"/>
        </w:rPr>
        <w:t>–</w:t>
      </w:r>
      <w:r w:rsidRPr="002C49E6">
        <w:rPr>
          <w:rFonts w:eastAsia="MS Mincho" w:hint="eastAsia"/>
          <w:snapToGrid w:val="0"/>
          <w:szCs w:val="24"/>
          <w:lang w:val="en-US" w:eastAsia="ja-JP"/>
        </w:rPr>
        <w:t>8Ni alloy</w:t>
      </w:r>
      <w:r w:rsidRPr="002C49E6">
        <w:rPr>
          <w:rFonts w:eastAsia="MS Mincho"/>
          <w:snapToGrid w:val="0"/>
          <w:szCs w:val="24"/>
          <w:lang w:val="en-US" w:eastAsia="ja-JP"/>
        </w:rPr>
        <w:t xml:space="preserve"> to assess its essential mechanical properties. For use in brace-type seismic dampers,</w:t>
      </w:r>
      <w:r w:rsidRPr="002C49E6">
        <w:rPr>
          <w:rFonts w:eastAsia="Times New Roman"/>
          <w:snapToGrid w:val="0"/>
          <w:szCs w:val="24"/>
          <w:lang w:val="en-US" w:eastAsia="ja-JP"/>
        </w:rPr>
        <w:t xml:space="preserve"> the specimens were cut from the alloy rolled plates in the longitudinal direction. Figure 3 shows the dimensions of a specimen. </w:t>
      </w:r>
    </w:p>
    <w:p w:rsidR="002C49E6" w:rsidRPr="002C49E6" w:rsidRDefault="002C49E6" w:rsidP="002C49E6">
      <w:pPr>
        <w:widowControl w:val="0"/>
        <w:spacing w:after="0" w:line="240" w:lineRule="auto"/>
        <w:jc w:val="both"/>
        <w:rPr>
          <w:rFonts w:eastAsia="Times New Roman"/>
          <w:snapToGrid w:val="0"/>
          <w:szCs w:val="24"/>
          <w:lang w:val="en-US" w:eastAsia="ja-JP"/>
        </w:rPr>
      </w:pPr>
    </w:p>
    <w:tbl>
      <w:tblPr>
        <w:tblW w:w="0" w:type="auto"/>
        <w:jc w:val="center"/>
        <w:tblLayout w:type="fixed"/>
        <w:tblLook w:val="0000" w:firstRow="0" w:lastRow="0" w:firstColumn="0" w:lastColumn="0" w:noHBand="0" w:noVBand="0"/>
      </w:tblPr>
      <w:tblGrid>
        <w:gridCol w:w="8647"/>
      </w:tblGrid>
      <w:tr w:rsidR="002C49E6" w:rsidRPr="002C49E6" w:rsidTr="00FF6B28">
        <w:trPr>
          <w:cantSplit/>
          <w:trHeight w:val="1623"/>
          <w:jc w:val="center"/>
        </w:trPr>
        <w:tc>
          <w:tcPr>
            <w:tcW w:w="8647" w:type="dxa"/>
          </w:tcPr>
          <w:p w:rsidR="002C49E6" w:rsidRPr="002C49E6" w:rsidRDefault="002C49E6" w:rsidP="002C49E6">
            <w:pPr>
              <w:widowControl w:val="0"/>
              <w:tabs>
                <w:tab w:val="left" w:pos="0"/>
                <w:tab w:val="left" w:pos="720"/>
                <w:tab w:val="left" w:pos="1086"/>
                <w:tab w:val="left" w:pos="1440"/>
              </w:tabs>
              <w:suppressAutoHyphens/>
              <w:spacing w:after="0" w:line="240" w:lineRule="auto"/>
              <w:jc w:val="center"/>
              <w:rPr>
                <w:rFonts w:eastAsia="MS Mincho"/>
                <w:b/>
                <w:snapToGrid w:val="0"/>
                <w:szCs w:val="24"/>
                <w:lang w:val="en-US" w:eastAsia="ja-JP"/>
              </w:rPr>
            </w:pPr>
            <w:r w:rsidRPr="002C49E6">
              <w:rPr>
                <w:rFonts w:eastAsia="Times New Roman"/>
                <w:noProof/>
                <w:snapToGrid w:val="0"/>
                <w:szCs w:val="24"/>
              </w:rPr>
              <w:drawing>
                <wp:inline distT="0" distB="0" distL="0" distR="0" wp14:anchorId="025A11B9" wp14:editId="5466A0BA">
                  <wp:extent cx="5353685" cy="1330960"/>
                  <wp:effectExtent l="0" t="0" r="0" b="2540"/>
                  <wp:docPr id="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3685" cy="1330960"/>
                          </a:xfrm>
                          <a:prstGeom prst="rect">
                            <a:avLst/>
                          </a:prstGeom>
                        </pic:spPr>
                      </pic:pic>
                    </a:graphicData>
                  </a:graphic>
                </wp:inline>
              </w:drawing>
            </w:r>
          </w:p>
          <w:p w:rsidR="002C49E6" w:rsidRPr="002C49E6" w:rsidRDefault="002C49E6" w:rsidP="002C49E6">
            <w:pPr>
              <w:widowControl w:val="0"/>
              <w:tabs>
                <w:tab w:val="left" w:pos="0"/>
                <w:tab w:val="left" w:pos="720"/>
                <w:tab w:val="left" w:pos="1086"/>
                <w:tab w:val="left" w:pos="1440"/>
              </w:tabs>
              <w:suppressAutoHyphens/>
              <w:spacing w:after="0" w:line="240" w:lineRule="auto"/>
              <w:jc w:val="center"/>
              <w:rPr>
                <w:rFonts w:eastAsia="MS Mincho"/>
                <w:b/>
                <w:snapToGrid w:val="0"/>
                <w:szCs w:val="24"/>
                <w:lang w:val="en-US" w:eastAsia="ja-JP"/>
              </w:rPr>
            </w:pPr>
          </w:p>
        </w:tc>
      </w:tr>
    </w:tbl>
    <w:p w:rsidR="002C49E6" w:rsidRPr="002C49E6" w:rsidRDefault="002C49E6" w:rsidP="002C49E6">
      <w:pPr>
        <w:widowControl w:val="0"/>
        <w:tabs>
          <w:tab w:val="left" w:pos="0"/>
        </w:tabs>
        <w:suppressAutoHyphens/>
        <w:spacing w:after="0" w:line="240" w:lineRule="auto"/>
        <w:jc w:val="both"/>
        <w:rPr>
          <w:rFonts w:eastAsia="Times New Roman"/>
          <w:snapToGrid w:val="0"/>
          <w:szCs w:val="24"/>
          <w:lang w:val="en-US" w:eastAsia="ja-JP"/>
        </w:rPr>
      </w:pPr>
    </w:p>
    <w:p w:rsidR="002C49E6" w:rsidRPr="002C49E6" w:rsidRDefault="002C49E6" w:rsidP="002C49E6">
      <w:pPr>
        <w:widowControl w:val="0"/>
        <w:spacing w:after="0" w:line="240" w:lineRule="auto"/>
        <w:jc w:val="center"/>
        <w:rPr>
          <w:rFonts w:eastAsia="Times New Roman"/>
          <w:snapToGrid w:val="0"/>
          <w:sz w:val="20"/>
          <w:szCs w:val="24"/>
          <w:lang w:val="en-US" w:eastAsia="en-US"/>
        </w:rPr>
      </w:pPr>
      <w:r w:rsidRPr="002C49E6">
        <w:rPr>
          <w:rFonts w:eastAsia="Times New Roman"/>
          <w:snapToGrid w:val="0"/>
          <w:sz w:val="20"/>
          <w:szCs w:val="24"/>
          <w:lang w:val="en-US" w:eastAsia="en-US"/>
        </w:rPr>
        <w:t>Figure 3. Dimensions of a specimen used in this tensile strength test</w:t>
      </w:r>
    </w:p>
    <w:p w:rsidR="002C49E6" w:rsidRPr="002C49E6" w:rsidRDefault="002C49E6" w:rsidP="002C49E6">
      <w:pPr>
        <w:widowControl w:val="0"/>
        <w:tabs>
          <w:tab w:val="left" w:pos="0"/>
          <w:tab w:val="left" w:pos="720"/>
          <w:tab w:val="left" w:pos="1086"/>
          <w:tab w:val="left" w:pos="1440"/>
        </w:tabs>
        <w:suppressAutoHyphens/>
        <w:spacing w:after="0" w:line="240" w:lineRule="auto"/>
        <w:ind w:left="720" w:hanging="720"/>
        <w:jc w:val="both"/>
        <w:rPr>
          <w:rFonts w:eastAsia="Times New Roman"/>
          <w:snapToGrid w:val="0"/>
          <w:szCs w:val="24"/>
          <w:lang w:val="en-US" w:eastAsia="en-US"/>
        </w:rPr>
      </w:pPr>
    </w:p>
    <w:p w:rsidR="002C49E6" w:rsidRPr="002C49E6" w:rsidRDefault="002C49E6" w:rsidP="002C49E6">
      <w:pPr>
        <w:widowControl w:val="0"/>
        <w:spacing w:after="0" w:line="240" w:lineRule="auto"/>
        <w:jc w:val="both"/>
        <w:rPr>
          <w:rFonts w:eastAsia="Times New Roman"/>
          <w:snapToGrid w:val="0"/>
          <w:szCs w:val="24"/>
          <w:lang w:val="en-US" w:eastAsia="ja-JP"/>
        </w:rPr>
      </w:pPr>
      <w:r w:rsidRPr="002C49E6">
        <w:rPr>
          <w:rFonts w:eastAsia="Times New Roman"/>
          <w:snapToGrid w:val="0"/>
          <w:szCs w:val="24"/>
          <w:lang w:val="en-US" w:eastAsia="en-US"/>
        </w:rPr>
        <w:t>Figure 4 shows the results of the static tensile-strength test conducted on this alloy. The engineering strain was measured using strain gauges, and continuous yielding behavior was observed in the stress–strain curves of this alloy. Consequently, a proof stress of 0.2% was used to</w:t>
      </w:r>
      <w:r w:rsidRPr="002C49E6">
        <w:rPr>
          <w:rFonts w:eastAsia="MS Mincho" w:hint="eastAsia"/>
          <w:snapToGrid w:val="0"/>
          <w:szCs w:val="24"/>
          <w:lang w:val="en-US" w:eastAsia="ja-JP"/>
        </w:rPr>
        <w:t xml:space="preserve"> </w:t>
      </w:r>
      <w:r w:rsidRPr="002C49E6">
        <w:rPr>
          <w:rFonts w:eastAsia="Times New Roman"/>
          <w:snapToGrid w:val="0"/>
          <w:szCs w:val="24"/>
          <w:lang w:val="en-US" w:eastAsia="en-US"/>
        </w:rPr>
        <w:t>determine its yield strength. Table 1 gives the mechanical properties of the alloy as obtained from this test. These results indicate that this alloy has a small yield–tensile ratio, large elongation, and undergoes stable deformation, making it suitable for use in seismic dampers.</w:t>
      </w:r>
    </w:p>
    <w:p w:rsidR="002C49E6" w:rsidRPr="002C49E6" w:rsidRDefault="002C49E6" w:rsidP="002C49E6">
      <w:pPr>
        <w:widowControl w:val="0"/>
        <w:spacing w:after="0" w:line="240" w:lineRule="auto"/>
        <w:jc w:val="both"/>
        <w:rPr>
          <w:rFonts w:eastAsia="Times New Roman"/>
          <w:snapToGrid w:val="0"/>
          <w:szCs w:val="24"/>
          <w:lang w:val="en-US" w:eastAsia="ja-JP"/>
        </w:rPr>
      </w:pPr>
    </w:p>
    <w:tbl>
      <w:tblPr>
        <w:tblW w:w="0" w:type="auto"/>
        <w:jc w:val="center"/>
        <w:tblLayout w:type="fixed"/>
        <w:tblLook w:val="0000" w:firstRow="0" w:lastRow="0" w:firstColumn="0" w:lastColumn="0" w:noHBand="0" w:noVBand="0"/>
      </w:tblPr>
      <w:tblGrid>
        <w:gridCol w:w="9391"/>
      </w:tblGrid>
      <w:tr w:rsidR="002C49E6" w:rsidRPr="002C49E6" w:rsidTr="00FF6B28">
        <w:trPr>
          <w:cantSplit/>
          <w:trHeight w:val="2545"/>
          <w:jc w:val="center"/>
        </w:trPr>
        <w:tc>
          <w:tcPr>
            <w:tcW w:w="9391" w:type="dxa"/>
          </w:tcPr>
          <w:p w:rsidR="002C49E6" w:rsidRPr="002C49E6" w:rsidRDefault="002C49E6" w:rsidP="002C49E6">
            <w:pPr>
              <w:widowControl w:val="0"/>
              <w:tabs>
                <w:tab w:val="left" w:pos="0"/>
                <w:tab w:val="left" w:pos="720"/>
                <w:tab w:val="left" w:pos="1086"/>
                <w:tab w:val="left" w:pos="1440"/>
              </w:tabs>
              <w:suppressAutoHyphens/>
              <w:spacing w:after="0" w:line="240" w:lineRule="auto"/>
              <w:jc w:val="both"/>
              <w:rPr>
                <w:rFonts w:eastAsia="Times New Roman"/>
                <w:noProof/>
                <w:snapToGrid w:val="0"/>
                <w:szCs w:val="24"/>
                <w:lang w:val="en-US" w:eastAsia="ja-JP"/>
              </w:rPr>
            </w:pPr>
            <w:r w:rsidRPr="002C49E6">
              <w:rPr>
                <w:rFonts w:eastAsia="Times New Roman"/>
                <w:noProof/>
                <w:snapToGrid w:val="0"/>
                <w:szCs w:val="24"/>
              </w:rPr>
              <w:lastRenderedPageBreak/>
              <w:drawing>
                <wp:inline distT="0" distB="0" distL="0" distR="0" wp14:anchorId="0030D419" wp14:editId="6C456300">
                  <wp:extent cx="2746440" cy="2334600"/>
                  <wp:effectExtent l="0" t="0" r="0" b="8890"/>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0"/>
                          <a:stretch>
                            <a:fillRect/>
                          </a:stretch>
                        </pic:blipFill>
                        <pic:spPr>
                          <a:xfrm>
                            <a:off x="0" y="0"/>
                            <a:ext cx="2746440" cy="2334600"/>
                          </a:xfrm>
                          <a:prstGeom prst="rect">
                            <a:avLst/>
                          </a:prstGeom>
                        </pic:spPr>
                      </pic:pic>
                    </a:graphicData>
                  </a:graphic>
                </wp:inline>
              </w:drawing>
            </w:r>
            <w:r w:rsidRPr="002C49E6">
              <w:rPr>
                <w:rFonts w:eastAsia="Times New Roman"/>
                <w:noProof/>
                <w:snapToGrid w:val="0"/>
                <w:szCs w:val="24"/>
                <w:lang w:val="en-US" w:eastAsia="ja-JP"/>
              </w:rPr>
              <w:t xml:space="preserve">    </w:t>
            </w:r>
            <w:r w:rsidRPr="002C49E6">
              <w:rPr>
                <w:rFonts w:eastAsia="MS Mincho"/>
                <w:b/>
                <w:noProof/>
                <w:snapToGrid w:val="0"/>
                <w:szCs w:val="24"/>
              </w:rPr>
              <w:drawing>
                <wp:inline distT="0" distB="0" distL="0" distR="0" wp14:anchorId="3CF3DF61" wp14:editId="72CD4EFF">
                  <wp:extent cx="2747880" cy="232884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1"/>
                          <a:stretch>
                            <a:fillRect/>
                          </a:stretch>
                        </pic:blipFill>
                        <pic:spPr>
                          <a:xfrm>
                            <a:off x="0" y="0"/>
                            <a:ext cx="2747880" cy="2328840"/>
                          </a:xfrm>
                          <a:prstGeom prst="rect">
                            <a:avLst/>
                          </a:prstGeom>
                        </pic:spPr>
                      </pic:pic>
                    </a:graphicData>
                  </a:graphic>
                </wp:inline>
              </w:drawing>
            </w:r>
          </w:p>
          <w:p w:rsidR="002C49E6" w:rsidRPr="002C49E6" w:rsidRDefault="002C49E6" w:rsidP="002C49E6">
            <w:pPr>
              <w:widowControl w:val="0"/>
              <w:tabs>
                <w:tab w:val="left" w:pos="0"/>
                <w:tab w:val="left" w:pos="720"/>
                <w:tab w:val="left" w:pos="1086"/>
                <w:tab w:val="left" w:pos="1440"/>
              </w:tabs>
              <w:suppressAutoHyphens/>
              <w:spacing w:after="0" w:line="240" w:lineRule="auto"/>
              <w:jc w:val="both"/>
              <w:rPr>
                <w:rFonts w:eastAsia="MS Mincho"/>
                <w:b/>
                <w:snapToGrid w:val="0"/>
                <w:szCs w:val="24"/>
                <w:lang w:val="en-US" w:eastAsia="ja-JP"/>
              </w:rPr>
            </w:pPr>
          </w:p>
        </w:tc>
      </w:tr>
    </w:tbl>
    <w:p w:rsidR="002C49E6" w:rsidRPr="002C49E6" w:rsidRDefault="002C49E6" w:rsidP="002C49E6">
      <w:pPr>
        <w:widowControl w:val="0"/>
        <w:tabs>
          <w:tab w:val="left" w:pos="0"/>
        </w:tabs>
        <w:suppressAutoHyphens/>
        <w:spacing w:after="0" w:line="240" w:lineRule="auto"/>
        <w:jc w:val="both"/>
        <w:rPr>
          <w:rFonts w:eastAsia="Times New Roman"/>
          <w:snapToGrid w:val="0"/>
          <w:szCs w:val="24"/>
          <w:lang w:val="en-US" w:eastAsia="ja-JP"/>
        </w:rPr>
      </w:pPr>
    </w:p>
    <w:p w:rsidR="002C49E6" w:rsidRPr="002C49E6" w:rsidRDefault="002C49E6" w:rsidP="002C49E6">
      <w:pPr>
        <w:widowControl w:val="0"/>
        <w:spacing w:after="0" w:line="240" w:lineRule="auto"/>
        <w:jc w:val="center"/>
        <w:rPr>
          <w:rFonts w:eastAsia="Times New Roman"/>
          <w:snapToGrid w:val="0"/>
          <w:sz w:val="20"/>
          <w:szCs w:val="24"/>
          <w:lang w:val="en-US" w:eastAsia="en-US"/>
        </w:rPr>
      </w:pPr>
      <w:r w:rsidRPr="002C49E6">
        <w:rPr>
          <w:rFonts w:eastAsia="Times New Roman"/>
          <w:snapToGrid w:val="0"/>
          <w:sz w:val="20"/>
          <w:szCs w:val="24"/>
          <w:lang w:val="en-US" w:eastAsia="en-US"/>
        </w:rPr>
        <w:t>Figure 4. (a) Stress–strain curve and (b) stress–displacement curve obtained from the tensile-strength test</w:t>
      </w:r>
    </w:p>
    <w:p w:rsidR="002C49E6" w:rsidRPr="002C49E6" w:rsidRDefault="002C49E6" w:rsidP="002C49E6">
      <w:pPr>
        <w:widowControl w:val="0"/>
        <w:spacing w:after="0" w:line="240" w:lineRule="auto"/>
        <w:jc w:val="both"/>
        <w:rPr>
          <w:rFonts w:eastAsia="Times New Roman"/>
          <w:snapToGrid w:val="0"/>
          <w:szCs w:val="24"/>
          <w:lang w:val="en-US" w:eastAsia="en-US"/>
        </w:rPr>
      </w:pPr>
    </w:p>
    <w:p w:rsidR="002C49E6" w:rsidRPr="002C49E6" w:rsidRDefault="002C49E6" w:rsidP="002C49E6">
      <w:pPr>
        <w:widowControl w:val="0"/>
        <w:spacing w:after="0" w:line="240" w:lineRule="auto"/>
        <w:jc w:val="center"/>
        <w:rPr>
          <w:rFonts w:eastAsia="Times New Roman"/>
          <w:snapToGrid w:val="0"/>
          <w:sz w:val="20"/>
          <w:szCs w:val="24"/>
          <w:lang w:val="en-US" w:eastAsia="en-US"/>
        </w:rPr>
      </w:pPr>
      <w:r w:rsidRPr="002C49E6">
        <w:rPr>
          <w:rFonts w:eastAsia="Times New Roman"/>
          <w:snapToGrid w:val="0"/>
          <w:sz w:val="20"/>
          <w:szCs w:val="24"/>
          <w:lang w:val="en-US" w:eastAsia="en-US"/>
        </w:rPr>
        <w:t>Table 1. Mechanical properties</w:t>
      </w:r>
    </w:p>
    <w:p w:rsidR="002C49E6" w:rsidRPr="002C49E6" w:rsidRDefault="002C49E6" w:rsidP="002C49E6">
      <w:pPr>
        <w:widowControl w:val="0"/>
        <w:tabs>
          <w:tab w:val="left" w:pos="0"/>
          <w:tab w:val="left" w:pos="720"/>
          <w:tab w:val="left" w:pos="1086"/>
          <w:tab w:val="left" w:pos="1440"/>
        </w:tabs>
        <w:suppressAutoHyphens/>
        <w:spacing w:after="0" w:line="240" w:lineRule="auto"/>
        <w:ind w:left="1086" w:hanging="1086"/>
        <w:jc w:val="both"/>
        <w:rPr>
          <w:rFonts w:eastAsia="Times New Roman"/>
          <w:snapToGrid w:val="0"/>
          <w:szCs w:val="24"/>
          <w:lang w:val="en-US" w:eastAsia="en-US"/>
        </w:rPr>
      </w:pPr>
    </w:p>
    <w:tbl>
      <w:tblPr>
        <w:tblW w:w="0" w:type="auto"/>
        <w:jc w:val="center"/>
        <w:tblLayout w:type="fixed"/>
        <w:tblLook w:val="0000" w:firstRow="0" w:lastRow="0" w:firstColumn="0" w:lastColumn="0" w:noHBand="0" w:noVBand="0"/>
      </w:tblPr>
      <w:tblGrid>
        <w:gridCol w:w="1948"/>
        <w:gridCol w:w="1949"/>
        <w:gridCol w:w="1949"/>
        <w:gridCol w:w="1949"/>
      </w:tblGrid>
      <w:tr w:rsidR="002C49E6" w:rsidRPr="002C49E6" w:rsidTr="00FF6B28">
        <w:trPr>
          <w:cantSplit/>
          <w:trHeight w:val="355"/>
          <w:jc w:val="center"/>
        </w:trPr>
        <w:tc>
          <w:tcPr>
            <w:tcW w:w="1948" w:type="dxa"/>
            <w:tcBorders>
              <w:top w:val="single" w:sz="4" w:space="0" w:color="auto"/>
              <w:bottom w:val="single" w:sz="4" w:space="0" w:color="auto"/>
            </w:tcBorders>
            <w:vAlign w:val="center"/>
          </w:tcPr>
          <w:p w:rsidR="002C49E6" w:rsidRPr="002C49E6" w:rsidRDefault="002C49E6" w:rsidP="002C49E6">
            <w:pPr>
              <w:widowControl w:val="0"/>
              <w:spacing w:after="0" w:line="240" w:lineRule="auto"/>
              <w:jc w:val="center"/>
              <w:rPr>
                <w:rFonts w:eastAsia="MS Mincho"/>
                <w:b/>
                <w:snapToGrid w:val="0"/>
                <w:szCs w:val="24"/>
                <w:lang w:val="en-US" w:eastAsia="ja-JP"/>
              </w:rPr>
            </w:pPr>
            <w:r w:rsidRPr="002C49E6">
              <w:rPr>
                <w:rFonts w:eastAsia="MS Mincho" w:hint="eastAsia"/>
                <w:b/>
                <w:snapToGrid w:val="0"/>
                <w:szCs w:val="24"/>
                <w:lang w:val="en-US" w:eastAsia="ja-JP"/>
              </w:rPr>
              <w:t>0.2 % proof stress</w:t>
            </w:r>
          </w:p>
          <w:p w:rsidR="002C49E6" w:rsidRPr="002C49E6" w:rsidRDefault="002C49E6" w:rsidP="002C49E6">
            <w:pPr>
              <w:widowControl w:val="0"/>
              <w:spacing w:after="0" w:line="240" w:lineRule="auto"/>
              <w:jc w:val="center"/>
              <w:rPr>
                <w:rFonts w:eastAsia="MS Mincho"/>
                <w:b/>
                <w:snapToGrid w:val="0"/>
                <w:szCs w:val="24"/>
                <w:lang w:val="en-US" w:eastAsia="ja-JP"/>
              </w:rPr>
            </w:pPr>
            <w:r w:rsidRPr="002C49E6">
              <w:rPr>
                <w:rFonts w:eastAsia="MS Mincho"/>
                <w:b/>
                <w:snapToGrid w:val="0"/>
                <w:szCs w:val="24"/>
                <w:lang w:val="en-US" w:eastAsia="ja-JP"/>
              </w:rPr>
              <w:t>(N/mm</w:t>
            </w:r>
            <w:r w:rsidRPr="002C49E6">
              <w:rPr>
                <w:rFonts w:eastAsia="MS Mincho"/>
                <w:b/>
                <w:snapToGrid w:val="0"/>
                <w:szCs w:val="24"/>
                <w:vertAlign w:val="superscript"/>
                <w:lang w:val="en-US" w:eastAsia="ja-JP"/>
              </w:rPr>
              <w:t>2</w:t>
            </w:r>
            <w:r w:rsidRPr="002C49E6">
              <w:rPr>
                <w:rFonts w:eastAsia="MS Mincho"/>
                <w:b/>
                <w:snapToGrid w:val="0"/>
                <w:szCs w:val="24"/>
                <w:lang w:val="en-US" w:eastAsia="ja-JP"/>
              </w:rPr>
              <w:t>)</w:t>
            </w:r>
          </w:p>
        </w:tc>
        <w:tc>
          <w:tcPr>
            <w:tcW w:w="1949" w:type="dxa"/>
            <w:tcBorders>
              <w:top w:val="single" w:sz="4" w:space="0" w:color="auto"/>
              <w:bottom w:val="single" w:sz="4" w:space="0" w:color="auto"/>
            </w:tcBorders>
            <w:vAlign w:val="center"/>
          </w:tcPr>
          <w:p w:rsidR="002C49E6" w:rsidRPr="002C49E6" w:rsidRDefault="002C49E6" w:rsidP="002C49E6">
            <w:pPr>
              <w:widowControl w:val="0"/>
              <w:spacing w:after="0" w:line="240" w:lineRule="auto"/>
              <w:jc w:val="center"/>
              <w:rPr>
                <w:rFonts w:eastAsia="MS Mincho"/>
                <w:b/>
                <w:snapToGrid w:val="0"/>
                <w:szCs w:val="24"/>
                <w:lang w:val="en-US" w:eastAsia="ja-JP"/>
              </w:rPr>
            </w:pPr>
            <w:r w:rsidRPr="002C49E6">
              <w:rPr>
                <w:rFonts w:eastAsia="MS Mincho" w:hint="eastAsia"/>
                <w:b/>
                <w:snapToGrid w:val="0"/>
                <w:szCs w:val="24"/>
                <w:lang w:val="en-US" w:eastAsia="ja-JP"/>
              </w:rPr>
              <w:t>Tensile strength</w:t>
            </w:r>
          </w:p>
          <w:p w:rsidR="002C49E6" w:rsidRPr="002C49E6" w:rsidRDefault="002C49E6" w:rsidP="002C49E6">
            <w:pPr>
              <w:widowControl w:val="0"/>
              <w:spacing w:after="0" w:line="240" w:lineRule="auto"/>
              <w:jc w:val="center"/>
              <w:rPr>
                <w:rFonts w:eastAsia="MS Mincho"/>
                <w:b/>
                <w:snapToGrid w:val="0"/>
                <w:szCs w:val="24"/>
                <w:lang w:val="en-US" w:eastAsia="ja-JP"/>
              </w:rPr>
            </w:pPr>
            <w:r w:rsidRPr="002C49E6">
              <w:rPr>
                <w:rFonts w:eastAsia="MS Mincho"/>
                <w:b/>
                <w:snapToGrid w:val="0"/>
                <w:szCs w:val="24"/>
                <w:lang w:val="en-US" w:eastAsia="ja-JP"/>
              </w:rPr>
              <w:t>(N/mm</w:t>
            </w:r>
            <w:r w:rsidRPr="002C49E6">
              <w:rPr>
                <w:rFonts w:eastAsia="MS Mincho"/>
                <w:b/>
                <w:snapToGrid w:val="0"/>
                <w:szCs w:val="24"/>
                <w:vertAlign w:val="superscript"/>
                <w:lang w:val="en-US" w:eastAsia="ja-JP"/>
              </w:rPr>
              <w:t>2</w:t>
            </w:r>
            <w:r w:rsidRPr="002C49E6">
              <w:rPr>
                <w:rFonts w:eastAsia="MS Mincho"/>
                <w:b/>
                <w:snapToGrid w:val="0"/>
                <w:szCs w:val="24"/>
                <w:lang w:val="en-US" w:eastAsia="ja-JP"/>
              </w:rPr>
              <w:t>)</w:t>
            </w:r>
          </w:p>
        </w:tc>
        <w:tc>
          <w:tcPr>
            <w:tcW w:w="1949" w:type="dxa"/>
            <w:tcBorders>
              <w:top w:val="single" w:sz="4" w:space="0" w:color="auto"/>
              <w:bottom w:val="single" w:sz="4" w:space="0" w:color="auto"/>
            </w:tcBorders>
            <w:vAlign w:val="center"/>
          </w:tcPr>
          <w:p w:rsidR="002C49E6" w:rsidRPr="002C49E6" w:rsidRDefault="002C49E6" w:rsidP="002C49E6">
            <w:pPr>
              <w:widowControl w:val="0"/>
              <w:spacing w:after="0" w:line="240" w:lineRule="auto"/>
              <w:jc w:val="center"/>
              <w:rPr>
                <w:rFonts w:eastAsia="MS Mincho"/>
                <w:b/>
                <w:snapToGrid w:val="0"/>
                <w:szCs w:val="24"/>
                <w:lang w:val="en-US" w:eastAsia="ja-JP"/>
              </w:rPr>
            </w:pPr>
            <w:r w:rsidRPr="002C49E6">
              <w:rPr>
                <w:rFonts w:eastAsia="MS Mincho" w:hint="eastAsia"/>
                <w:b/>
                <w:snapToGrid w:val="0"/>
                <w:szCs w:val="24"/>
                <w:lang w:val="en-US" w:eastAsia="ja-JP"/>
              </w:rPr>
              <w:t>Yield-point ratio</w:t>
            </w:r>
          </w:p>
          <w:p w:rsidR="002C49E6" w:rsidRPr="002C49E6" w:rsidRDefault="002C49E6" w:rsidP="002C49E6">
            <w:pPr>
              <w:widowControl w:val="0"/>
              <w:spacing w:after="0" w:line="240" w:lineRule="auto"/>
              <w:jc w:val="center"/>
              <w:rPr>
                <w:rFonts w:eastAsia="MS Mincho"/>
                <w:b/>
                <w:snapToGrid w:val="0"/>
                <w:szCs w:val="24"/>
                <w:lang w:val="en-US" w:eastAsia="ja-JP"/>
              </w:rPr>
            </w:pPr>
            <w:r w:rsidRPr="002C49E6">
              <w:rPr>
                <w:rFonts w:eastAsia="MS Mincho" w:hint="eastAsia"/>
                <w:b/>
                <w:snapToGrid w:val="0"/>
                <w:szCs w:val="24"/>
                <w:lang w:val="en-US" w:eastAsia="ja-JP"/>
              </w:rPr>
              <w:t>(</w:t>
            </w:r>
            <w:r w:rsidRPr="002C49E6">
              <w:rPr>
                <w:rFonts w:eastAsia="MS Mincho"/>
                <w:b/>
                <w:snapToGrid w:val="0"/>
                <w:szCs w:val="24"/>
                <w:lang w:val="en-US" w:eastAsia="ja-JP"/>
              </w:rPr>
              <w:t>%</w:t>
            </w:r>
            <w:r w:rsidRPr="002C49E6">
              <w:rPr>
                <w:rFonts w:eastAsia="MS Mincho" w:hint="eastAsia"/>
                <w:b/>
                <w:snapToGrid w:val="0"/>
                <w:szCs w:val="24"/>
                <w:lang w:val="en-US" w:eastAsia="ja-JP"/>
              </w:rPr>
              <w:t>)</w:t>
            </w:r>
          </w:p>
        </w:tc>
        <w:tc>
          <w:tcPr>
            <w:tcW w:w="1949" w:type="dxa"/>
            <w:tcBorders>
              <w:top w:val="single" w:sz="4" w:space="0" w:color="auto"/>
              <w:bottom w:val="single" w:sz="4" w:space="0" w:color="auto"/>
            </w:tcBorders>
            <w:vAlign w:val="center"/>
          </w:tcPr>
          <w:p w:rsidR="002C49E6" w:rsidRPr="002C49E6" w:rsidRDefault="002C49E6" w:rsidP="002C49E6">
            <w:pPr>
              <w:widowControl w:val="0"/>
              <w:spacing w:after="0" w:line="240" w:lineRule="auto"/>
              <w:jc w:val="center"/>
              <w:rPr>
                <w:rFonts w:eastAsia="MS Mincho"/>
                <w:b/>
                <w:snapToGrid w:val="0"/>
                <w:szCs w:val="24"/>
                <w:lang w:val="en-US" w:eastAsia="ja-JP"/>
              </w:rPr>
            </w:pPr>
            <w:r w:rsidRPr="002C49E6">
              <w:rPr>
                <w:rFonts w:eastAsia="MS Mincho" w:hint="eastAsia"/>
                <w:b/>
                <w:snapToGrid w:val="0"/>
                <w:szCs w:val="24"/>
                <w:lang w:val="en-US" w:eastAsia="ja-JP"/>
              </w:rPr>
              <w:t>Elongation</w:t>
            </w:r>
          </w:p>
          <w:p w:rsidR="002C49E6" w:rsidRPr="002C49E6" w:rsidRDefault="002C49E6" w:rsidP="002C49E6">
            <w:pPr>
              <w:widowControl w:val="0"/>
              <w:spacing w:after="0" w:line="240" w:lineRule="auto"/>
              <w:jc w:val="center"/>
              <w:rPr>
                <w:rFonts w:eastAsia="MS Mincho"/>
                <w:b/>
                <w:snapToGrid w:val="0"/>
                <w:szCs w:val="24"/>
                <w:lang w:val="en-US" w:eastAsia="ja-JP"/>
              </w:rPr>
            </w:pPr>
            <w:r w:rsidRPr="002C49E6">
              <w:rPr>
                <w:rFonts w:eastAsia="MS Mincho"/>
                <w:b/>
                <w:snapToGrid w:val="0"/>
                <w:szCs w:val="24"/>
                <w:lang w:val="en-US" w:eastAsia="ja-JP"/>
              </w:rPr>
              <w:t>(%)</w:t>
            </w:r>
          </w:p>
        </w:tc>
      </w:tr>
      <w:tr w:rsidR="002C49E6" w:rsidRPr="002C49E6" w:rsidTr="00FF6B28">
        <w:trPr>
          <w:trHeight w:val="355"/>
          <w:jc w:val="center"/>
        </w:trPr>
        <w:tc>
          <w:tcPr>
            <w:tcW w:w="1948" w:type="dxa"/>
            <w:tcBorders>
              <w:bottom w:val="single" w:sz="4" w:space="0" w:color="auto"/>
            </w:tcBorders>
            <w:vAlign w:val="center"/>
          </w:tcPr>
          <w:p w:rsidR="002C49E6" w:rsidRPr="002C49E6" w:rsidRDefault="002C49E6" w:rsidP="002C49E6">
            <w:pPr>
              <w:widowControl w:val="0"/>
              <w:spacing w:after="0" w:line="240" w:lineRule="auto"/>
              <w:jc w:val="center"/>
              <w:rPr>
                <w:rFonts w:eastAsia="MS Mincho"/>
                <w:snapToGrid w:val="0"/>
                <w:szCs w:val="24"/>
                <w:lang w:val="en-US" w:eastAsia="ja-JP"/>
              </w:rPr>
            </w:pPr>
            <w:r w:rsidRPr="002C49E6">
              <w:rPr>
                <w:rFonts w:eastAsia="MS Mincho" w:hint="eastAsia"/>
                <w:snapToGrid w:val="0"/>
                <w:szCs w:val="24"/>
                <w:lang w:val="en-US" w:eastAsia="ja-JP"/>
              </w:rPr>
              <w:t>285</w:t>
            </w:r>
          </w:p>
        </w:tc>
        <w:tc>
          <w:tcPr>
            <w:tcW w:w="1949" w:type="dxa"/>
            <w:tcBorders>
              <w:bottom w:val="single" w:sz="4" w:space="0" w:color="auto"/>
            </w:tcBorders>
            <w:vAlign w:val="center"/>
          </w:tcPr>
          <w:p w:rsidR="002C49E6" w:rsidRPr="002C49E6" w:rsidRDefault="002C49E6" w:rsidP="002C49E6">
            <w:pPr>
              <w:widowControl w:val="0"/>
              <w:spacing w:after="0" w:line="240" w:lineRule="auto"/>
              <w:jc w:val="center"/>
              <w:rPr>
                <w:rFonts w:eastAsia="MS Mincho"/>
                <w:snapToGrid w:val="0"/>
                <w:szCs w:val="24"/>
                <w:lang w:val="en-US" w:eastAsia="ja-JP"/>
              </w:rPr>
            </w:pPr>
            <w:r w:rsidRPr="002C49E6">
              <w:rPr>
                <w:rFonts w:eastAsia="MS Mincho" w:hint="eastAsia"/>
                <w:snapToGrid w:val="0"/>
                <w:szCs w:val="24"/>
                <w:lang w:val="en-US" w:eastAsia="ja-JP"/>
              </w:rPr>
              <w:t>661</w:t>
            </w:r>
          </w:p>
        </w:tc>
        <w:tc>
          <w:tcPr>
            <w:tcW w:w="1949" w:type="dxa"/>
            <w:tcBorders>
              <w:bottom w:val="single" w:sz="4" w:space="0" w:color="auto"/>
            </w:tcBorders>
            <w:vAlign w:val="center"/>
          </w:tcPr>
          <w:p w:rsidR="002C49E6" w:rsidRPr="002C49E6" w:rsidRDefault="002C49E6" w:rsidP="002C49E6">
            <w:pPr>
              <w:widowControl w:val="0"/>
              <w:spacing w:after="0" w:line="240" w:lineRule="auto"/>
              <w:jc w:val="center"/>
              <w:rPr>
                <w:rFonts w:eastAsia="MS Mincho"/>
                <w:snapToGrid w:val="0"/>
                <w:szCs w:val="24"/>
                <w:lang w:val="en-US" w:eastAsia="ja-JP"/>
              </w:rPr>
            </w:pPr>
            <w:r w:rsidRPr="002C49E6">
              <w:rPr>
                <w:rFonts w:eastAsia="MS Mincho" w:hint="eastAsia"/>
                <w:snapToGrid w:val="0"/>
                <w:szCs w:val="24"/>
                <w:lang w:val="en-US" w:eastAsia="ja-JP"/>
              </w:rPr>
              <w:t>43.1</w:t>
            </w:r>
          </w:p>
        </w:tc>
        <w:tc>
          <w:tcPr>
            <w:tcW w:w="1949" w:type="dxa"/>
            <w:tcBorders>
              <w:bottom w:val="single" w:sz="4" w:space="0" w:color="auto"/>
            </w:tcBorders>
            <w:vAlign w:val="center"/>
          </w:tcPr>
          <w:p w:rsidR="002C49E6" w:rsidRPr="002C49E6" w:rsidRDefault="002C49E6" w:rsidP="002C49E6">
            <w:pPr>
              <w:widowControl w:val="0"/>
              <w:spacing w:after="0" w:line="240" w:lineRule="auto"/>
              <w:jc w:val="center"/>
              <w:rPr>
                <w:rFonts w:eastAsia="MS Mincho"/>
                <w:snapToGrid w:val="0"/>
                <w:szCs w:val="24"/>
                <w:lang w:val="en-US" w:eastAsia="ja-JP"/>
              </w:rPr>
            </w:pPr>
            <w:r w:rsidRPr="002C49E6">
              <w:rPr>
                <w:rFonts w:eastAsia="MS Mincho" w:hint="eastAsia"/>
                <w:snapToGrid w:val="0"/>
                <w:szCs w:val="24"/>
                <w:lang w:val="en-US" w:eastAsia="ja-JP"/>
              </w:rPr>
              <w:t>54</w:t>
            </w:r>
          </w:p>
        </w:tc>
      </w:tr>
    </w:tbl>
    <w:p w:rsidR="002C49E6" w:rsidRPr="002C49E6" w:rsidRDefault="002C49E6" w:rsidP="002C49E6">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2C49E6" w:rsidRPr="002C49E6" w:rsidRDefault="002C49E6" w:rsidP="002C49E6">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ja-JP"/>
        </w:rPr>
      </w:pPr>
      <w:r w:rsidRPr="002C49E6">
        <w:rPr>
          <w:rFonts w:eastAsia="Times New Roman"/>
          <w:b/>
          <w:i/>
          <w:snapToGrid w:val="0"/>
          <w:szCs w:val="24"/>
          <w:lang w:val="en-US" w:eastAsia="ja-JP"/>
        </w:rPr>
        <w:t>3.2 Low-cycle fatigue tests</w:t>
      </w:r>
    </w:p>
    <w:p w:rsidR="002C49E6" w:rsidRPr="002C49E6" w:rsidRDefault="002C49E6" w:rsidP="002C49E6">
      <w:pPr>
        <w:widowControl w:val="0"/>
        <w:spacing w:after="0" w:line="240" w:lineRule="auto"/>
        <w:jc w:val="both"/>
        <w:rPr>
          <w:rFonts w:eastAsia="Times New Roman"/>
          <w:snapToGrid w:val="0"/>
          <w:szCs w:val="24"/>
          <w:lang w:val="en-US" w:eastAsia="ja-JP"/>
        </w:rPr>
      </w:pPr>
    </w:p>
    <w:p w:rsidR="002C49E6" w:rsidRPr="002C49E6" w:rsidRDefault="002C49E6" w:rsidP="002C49E6">
      <w:pPr>
        <w:widowControl w:val="0"/>
        <w:spacing w:after="0" w:line="240" w:lineRule="auto"/>
        <w:jc w:val="both"/>
        <w:rPr>
          <w:rFonts w:eastAsia="Times New Roman"/>
          <w:snapToGrid w:val="0"/>
          <w:szCs w:val="24"/>
          <w:lang w:val="en-US" w:eastAsia="en-US"/>
        </w:rPr>
      </w:pPr>
      <w:r w:rsidRPr="002C49E6">
        <w:rPr>
          <w:rFonts w:eastAsia="Times New Roman"/>
          <w:snapToGrid w:val="0"/>
          <w:szCs w:val="24"/>
          <w:lang w:val="en-US" w:eastAsia="en-US"/>
        </w:rPr>
        <w:t xml:space="preserve">Low-cycle fatigue tests of the </w:t>
      </w:r>
      <w:r w:rsidRPr="002C49E6">
        <w:rPr>
          <w:rFonts w:eastAsia="MS Mincho" w:hint="eastAsia"/>
          <w:snapToGrid w:val="0"/>
          <w:szCs w:val="24"/>
          <w:lang w:val="en-US" w:eastAsia="ja-JP"/>
        </w:rPr>
        <w:t>Fe</w:t>
      </w:r>
      <w:r w:rsidRPr="002C49E6">
        <w:rPr>
          <w:rFonts w:eastAsia="Times New Roman"/>
          <w:snapToGrid w:val="0"/>
          <w:szCs w:val="24"/>
          <w:lang w:val="en-US" w:eastAsia="en-US"/>
        </w:rPr>
        <w:t>–</w:t>
      </w:r>
      <w:r w:rsidRPr="002C49E6">
        <w:rPr>
          <w:rFonts w:eastAsia="MS Mincho" w:hint="eastAsia"/>
          <w:snapToGrid w:val="0"/>
          <w:szCs w:val="24"/>
          <w:lang w:val="en-US" w:eastAsia="ja-JP"/>
        </w:rPr>
        <w:t>15Mn</w:t>
      </w:r>
      <w:r w:rsidRPr="002C49E6">
        <w:rPr>
          <w:rFonts w:eastAsia="Times New Roman"/>
          <w:snapToGrid w:val="0"/>
          <w:szCs w:val="24"/>
          <w:lang w:val="en-US" w:eastAsia="en-US"/>
        </w:rPr>
        <w:t>–</w:t>
      </w:r>
      <w:r w:rsidRPr="002C49E6">
        <w:rPr>
          <w:rFonts w:eastAsia="MS Mincho" w:hint="eastAsia"/>
          <w:snapToGrid w:val="0"/>
          <w:szCs w:val="24"/>
          <w:lang w:val="en-US" w:eastAsia="ja-JP"/>
        </w:rPr>
        <w:t>4Si</w:t>
      </w:r>
      <w:r w:rsidRPr="002C49E6">
        <w:rPr>
          <w:rFonts w:eastAsia="Times New Roman"/>
          <w:snapToGrid w:val="0"/>
          <w:szCs w:val="24"/>
          <w:lang w:val="en-US" w:eastAsia="en-US"/>
        </w:rPr>
        <w:t>–</w:t>
      </w:r>
      <w:r w:rsidRPr="002C49E6">
        <w:rPr>
          <w:rFonts w:eastAsia="MS Mincho" w:hint="eastAsia"/>
          <w:snapToGrid w:val="0"/>
          <w:szCs w:val="24"/>
          <w:lang w:val="en-US" w:eastAsia="ja-JP"/>
        </w:rPr>
        <w:t>10Cr</w:t>
      </w:r>
      <w:r w:rsidRPr="002C49E6">
        <w:rPr>
          <w:rFonts w:eastAsia="Times New Roman"/>
          <w:snapToGrid w:val="0"/>
          <w:szCs w:val="24"/>
          <w:lang w:val="en-US" w:eastAsia="en-US"/>
        </w:rPr>
        <w:t>–</w:t>
      </w:r>
      <w:r w:rsidRPr="002C49E6">
        <w:rPr>
          <w:rFonts w:eastAsia="MS Mincho" w:hint="eastAsia"/>
          <w:snapToGrid w:val="0"/>
          <w:szCs w:val="24"/>
          <w:lang w:val="en-US" w:eastAsia="ja-JP"/>
        </w:rPr>
        <w:t>8Ni</w:t>
      </w:r>
      <w:r w:rsidRPr="002C49E6">
        <w:rPr>
          <w:rFonts w:eastAsia="Times New Roman"/>
          <w:snapToGrid w:val="0"/>
          <w:szCs w:val="24"/>
          <w:lang w:val="en-US" w:eastAsia="en-US"/>
        </w:rPr>
        <w:t xml:space="preserve"> alloy were conducted by applying a symmetric tensile–compressive loading over total strain amplitudes in the range 0.01–0.04.</w:t>
      </w:r>
      <w:r w:rsidRPr="002C49E6">
        <w:rPr>
          <w:rFonts w:ascii="MS Mincho" w:eastAsia="MS Mincho" w:hAnsi="MS Mincho"/>
          <w:snapToGrid w:val="0"/>
          <w:szCs w:val="24"/>
          <w:lang w:val="en-US" w:eastAsia="ja-JP"/>
        </w:rPr>
        <w:t xml:space="preserve"> </w:t>
      </w:r>
      <w:r w:rsidRPr="002C49E6">
        <w:rPr>
          <w:rFonts w:eastAsia="Times New Roman"/>
          <w:snapToGrid w:val="0"/>
          <w:szCs w:val="24"/>
          <w:lang w:val="en-US" w:eastAsia="en-US"/>
        </w:rPr>
        <w:t>Figure 5 shows the specimen dimensions.</w:t>
      </w:r>
    </w:p>
    <w:p w:rsidR="002C49E6" w:rsidRPr="002C49E6" w:rsidRDefault="002C49E6" w:rsidP="002C49E6">
      <w:pPr>
        <w:widowControl w:val="0"/>
        <w:spacing w:after="0" w:line="240" w:lineRule="auto"/>
        <w:jc w:val="both"/>
        <w:rPr>
          <w:rFonts w:ascii="MS Mincho" w:eastAsia="MS Mincho" w:hAnsi="MS Mincho"/>
          <w:snapToGrid w:val="0"/>
          <w:szCs w:val="24"/>
          <w:lang w:val="en-US" w:eastAsia="ja-JP"/>
        </w:rPr>
      </w:pPr>
      <w:r w:rsidRPr="002C49E6">
        <w:rPr>
          <w:rFonts w:ascii="MS Mincho" w:eastAsia="MS Mincho" w:hAnsi="MS Mincho"/>
          <w:snapToGrid w:val="0"/>
          <w:szCs w:val="24"/>
          <w:lang w:val="en-US" w:eastAsia="ja-JP"/>
        </w:rPr>
        <w:t xml:space="preserve"> </w:t>
      </w:r>
    </w:p>
    <w:tbl>
      <w:tblPr>
        <w:tblW w:w="0" w:type="auto"/>
        <w:jc w:val="center"/>
        <w:tblLayout w:type="fixed"/>
        <w:tblLook w:val="0000" w:firstRow="0" w:lastRow="0" w:firstColumn="0" w:lastColumn="0" w:noHBand="0" w:noVBand="0"/>
      </w:tblPr>
      <w:tblGrid>
        <w:gridCol w:w="8647"/>
      </w:tblGrid>
      <w:tr w:rsidR="002C49E6" w:rsidRPr="002C49E6" w:rsidTr="00FF6B28">
        <w:trPr>
          <w:cantSplit/>
          <w:trHeight w:val="1623"/>
          <w:jc w:val="center"/>
        </w:trPr>
        <w:tc>
          <w:tcPr>
            <w:tcW w:w="8647" w:type="dxa"/>
            <w:vAlign w:val="center"/>
          </w:tcPr>
          <w:p w:rsidR="002C49E6" w:rsidRPr="002C49E6" w:rsidRDefault="002C49E6" w:rsidP="002C49E6">
            <w:pPr>
              <w:widowControl w:val="0"/>
              <w:tabs>
                <w:tab w:val="left" w:pos="0"/>
                <w:tab w:val="left" w:pos="720"/>
                <w:tab w:val="left" w:pos="1086"/>
                <w:tab w:val="left" w:pos="1440"/>
              </w:tabs>
              <w:suppressAutoHyphens/>
              <w:spacing w:after="0" w:line="240" w:lineRule="auto"/>
              <w:jc w:val="center"/>
              <w:rPr>
                <w:rFonts w:eastAsia="Times New Roman"/>
                <w:b/>
                <w:snapToGrid w:val="0"/>
                <w:szCs w:val="24"/>
                <w:lang w:val="en-US" w:eastAsia="en-US"/>
              </w:rPr>
            </w:pPr>
            <w:r w:rsidRPr="002C49E6">
              <w:rPr>
                <w:rFonts w:eastAsia="Times New Roman"/>
                <w:noProof/>
                <w:snapToGrid w:val="0"/>
                <w:szCs w:val="24"/>
              </w:rPr>
              <w:drawing>
                <wp:inline distT="0" distB="0" distL="0" distR="0" wp14:anchorId="495C86C5" wp14:editId="7DAB1040">
                  <wp:extent cx="3477126" cy="965892"/>
                  <wp:effectExtent l="0" t="0" r="9525" b="5715"/>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26628" cy="979643"/>
                          </a:xfrm>
                          <a:prstGeom prst="rect">
                            <a:avLst/>
                          </a:prstGeom>
                        </pic:spPr>
                      </pic:pic>
                    </a:graphicData>
                  </a:graphic>
                </wp:inline>
              </w:drawing>
            </w:r>
          </w:p>
        </w:tc>
      </w:tr>
    </w:tbl>
    <w:p w:rsidR="002C49E6" w:rsidRPr="002C49E6" w:rsidRDefault="002C49E6" w:rsidP="002C49E6">
      <w:pPr>
        <w:widowControl w:val="0"/>
        <w:tabs>
          <w:tab w:val="left" w:pos="0"/>
        </w:tabs>
        <w:suppressAutoHyphens/>
        <w:spacing w:after="0" w:line="240" w:lineRule="auto"/>
        <w:jc w:val="both"/>
        <w:rPr>
          <w:rFonts w:eastAsia="Times New Roman"/>
          <w:snapToGrid w:val="0"/>
          <w:szCs w:val="24"/>
          <w:lang w:val="en-US" w:eastAsia="en-US"/>
        </w:rPr>
      </w:pPr>
    </w:p>
    <w:p w:rsidR="002C49E6" w:rsidRPr="002C49E6" w:rsidRDefault="002C49E6" w:rsidP="002C49E6">
      <w:pPr>
        <w:widowControl w:val="0"/>
        <w:spacing w:after="0" w:line="240" w:lineRule="auto"/>
        <w:jc w:val="center"/>
        <w:rPr>
          <w:rFonts w:eastAsia="Times New Roman"/>
          <w:snapToGrid w:val="0"/>
          <w:sz w:val="20"/>
          <w:szCs w:val="24"/>
          <w:lang w:val="en-US" w:eastAsia="en-US"/>
        </w:rPr>
      </w:pPr>
      <w:r w:rsidRPr="002C49E6">
        <w:rPr>
          <w:rFonts w:eastAsia="Times New Roman"/>
          <w:snapToGrid w:val="0"/>
          <w:sz w:val="20"/>
          <w:szCs w:val="24"/>
          <w:lang w:val="en-US" w:eastAsia="en-US"/>
        </w:rPr>
        <w:t>Figure 5. Dimensions of specimens used in low-cycle fatigue tests.</w:t>
      </w:r>
    </w:p>
    <w:p w:rsidR="002C49E6" w:rsidRPr="002C49E6" w:rsidRDefault="002C49E6" w:rsidP="002C49E6">
      <w:pPr>
        <w:widowControl w:val="0"/>
        <w:spacing w:after="0" w:line="240" w:lineRule="auto"/>
        <w:jc w:val="both"/>
        <w:rPr>
          <w:rFonts w:ascii="MS Mincho" w:eastAsia="MS Mincho" w:hAnsi="MS Mincho"/>
          <w:snapToGrid w:val="0"/>
          <w:szCs w:val="24"/>
          <w:lang w:val="en-US" w:eastAsia="ja-JP"/>
        </w:rPr>
      </w:pPr>
    </w:p>
    <w:p w:rsidR="002C49E6" w:rsidRPr="002C49E6" w:rsidRDefault="002C49E6" w:rsidP="002C49E6">
      <w:pPr>
        <w:widowControl w:val="0"/>
        <w:spacing w:after="0" w:line="240" w:lineRule="auto"/>
        <w:jc w:val="both"/>
        <w:rPr>
          <w:rFonts w:eastAsia="MS Mincho"/>
          <w:snapToGrid w:val="0"/>
          <w:szCs w:val="24"/>
          <w:lang w:val="en-US" w:eastAsia="ja-JP"/>
        </w:rPr>
      </w:pPr>
      <w:r w:rsidRPr="002C49E6">
        <w:rPr>
          <w:rFonts w:eastAsia="Times New Roman"/>
          <w:snapToGrid w:val="0"/>
          <w:szCs w:val="24"/>
          <w:lang w:val="en-US" w:eastAsia="en-US"/>
        </w:rPr>
        <w:t>Figure 6 shows the low-cycle fatigue behavior of this alloy, which under broad amplitude conditions, has an outstanding fatigue lifetime compared with the low-yield-point steel (LY225) used in conventional steel dampers.</w:t>
      </w:r>
      <w:r w:rsidRPr="002C49E6">
        <w:rPr>
          <w:rFonts w:ascii="MS Mincho" w:eastAsia="MS Mincho" w:hAnsi="MS Mincho"/>
          <w:snapToGrid w:val="0"/>
          <w:szCs w:val="24"/>
          <w:lang w:val="en-US" w:eastAsia="ja-JP"/>
        </w:rPr>
        <w:t xml:space="preserve"> </w:t>
      </w:r>
      <w:r w:rsidRPr="002C49E6">
        <w:rPr>
          <w:rFonts w:eastAsia="MS Mincho"/>
          <w:snapToGrid w:val="0"/>
          <w:szCs w:val="24"/>
          <w:lang w:val="en-US" w:eastAsia="ja-JP"/>
        </w:rPr>
        <w:t>Additionally</w:t>
      </w:r>
      <w:r w:rsidRPr="002C49E6">
        <w:rPr>
          <w:rFonts w:eastAsia="MS Mincho" w:hint="cs"/>
          <w:snapToGrid w:val="0"/>
          <w:szCs w:val="24"/>
          <w:lang w:val="en-US" w:eastAsia="ja-JP"/>
        </w:rPr>
        <w:t xml:space="preserve">, </w:t>
      </w:r>
      <w:r w:rsidRPr="002C49E6">
        <w:rPr>
          <w:rFonts w:eastAsia="MS Mincho"/>
          <w:snapToGrid w:val="0"/>
          <w:szCs w:val="24"/>
          <w:lang w:val="en-US" w:eastAsia="ja-JP"/>
        </w:rPr>
        <w:t xml:space="preserve">we have confirmed that </w:t>
      </w:r>
      <w:r w:rsidRPr="002C49E6">
        <w:rPr>
          <w:rFonts w:eastAsia="MS Mincho" w:hint="cs"/>
          <w:snapToGrid w:val="0"/>
          <w:szCs w:val="24"/>
          <w:lang w:val="en-US" w:eastAsia="ja-JP"/>
        </w:rPr>
        <w:t xml:space="preserve">this alloy produced by continuous casting </w:t>
      </w:r>
      <w:r w:rsidRPr="002C49E6">
        <w:rPr>
          <w:rFonts w:eastAsia="MS Mincho"/>
          <w:snapToGrid w:val="0"/>
          <w:szCs w:val="24"/>
          <w:lang w:val="en-US" w:eastAsia="ja-JP"/>
        </w:rPr>
        <w:t>has a</w:t>
      </w:r>
      <w:r w:rsidRPr="002C49E6">
        <w:rPr>
          <w:rFonts w:eastAsia="MS Mincho" w:hint="cs"/>
          <w:snapToGrid w:val="0"/>
          <w:szCs w:val="24"/>
          <w:lang w:val="en-US" w:eastAsia="ja-JP"/>
        </w:rPr>
        <w:t xml:space="preserve"> fatigue lifetime similar to </w:t>
      </w:r>
      <w:r w:rsidRPr="002C49E6">
        <w:rPr>
          <w:rFonts w:eastAsia="MS Mincho"/>
          <w:snapToGrid w:val="0"/>
          <w:szCs w:val="24"/>
          <w:lang w:val="en-US" w:eastAsia="ja-JP"/>
        </w:rPr>
        <w:t xml:space="preserve">that of this alloy produced in an electric furnace in previous work </w:t>
      </w:r>
      <w:r w:rsidRPr="002C49E6">
        <w:rPr>
          <w:rFonts w:eastAsia="Times New Roman"/>
          <w:snapToGrid w:val="0"/>
          <w:szCs w:val="24"/>
          <w:lang w:val="en-US" w:eastAsia="ja-JP"/>
        </w:rPr>
        <w:t>(Sawaguchi et al. 2016)</w:t>
      </w:r>
      <w:r w:rsidRPr="002C49E6">
        <w:rPr>
          <w:rFonts w:eastAsia="MS Mincho"/>
          <w:snapToGrid w:val="0"/>
          <w:szCs w:val="24"/>
          <w:lang w:val="en-US" w:eastAsia="ja-JP"/>
        </w:rPr>
        <w:t>.</w:t>
      </w:r>
      <w:r w:rsidRPr="002C49E6">
        <w:rPr>
          <w:rFonts w:eastAsia="MS Mincho" w:hint="eastAsia"/>
          <w:snapToGrid w:val="0"/>
          <w:szCs w:val="24"/>
          <w:lang w:val="en-US" w:eastAsia="ja-JP"/>
        </w:rPr>
        <w:t xml:space="preserve"> </w:t>
      </w:r>
      <w:r w:rsidRPr="002C49E6">
        <w:rPr>
          <w:rFonts w:eastAsia="MS Mincho"/>
          <w:snapToGrid w:val="0"/>
          <w:szCs w:val="24"/>
          <w:lang w:val="en-US" w:eastAsia="ja-JP"/>
        </w:rPr>
        <w:t xml:space="preserve">Furthermore, a recent report has also confirmed the superior fatigue lifetime of this alloy when subjected to extremely high strain amplitudes </w:t>
      </w:r>
      <w:r w:rsidRPr="002C49E6">
        <w:rPr>
          <w:rFonts w:eastAsia="Times New Roman"/>
          <w:snapToGrid w:val="0"/>
          <w:szCs w:val="24"/>
          <w:lang w:val="en-US" w:eastAsia="ja-JP"/>
        </w:rPr>
        <w:t>(Nikulin et al. 2018)</w:t>
      </w:r>
      <w:r w:rsidRPr="002C49E6">
        <w:rPr>
          <w:rFonts w:eastAsia="MS Mincho"/>
          <w:snapToGrid w:val="0"/>
          <w:szCs w:val="24"/>
          <w:lang w:val="en-US" w:eastAsia="ja-JP"/>
        </w:rPr>
        <w:t xml:space="preserve">. For example, this alloy exhibits a fatigue lifetime of 112 cycles at a total strain amplitude of </w:t>
      </w:r>
      <w:r w:rsidRPr="002C49E6">
        <w:rPr>
          <w:rFonts w:eastAsia="Times New Roman"/>
          <w:snapToGrid w:val="0"/>
          <w:szCs w:val="24"/>
          <w:lang w:val="en-US" w:eastAsia="en-US"/>
        </w:rPr>
        <w:t>0.08</w:t>
      </w:r>
      <w:r w:rsidRPr="002C49E6">
        <w:rPr>
          <w:rFonts w:eastAsia="MS Mincho"/>
          <w:snapToGrid w:val="0"/>
          <w:szCs w:val="24"/>
          <w:lang w:val="en-US" w:eastAsia="ja-JP"/>
        </w:rPr>
        <w:t xml:space="preserve">, at which steel is reported to fail in fewer than 10 cycles. </w:t>
      </w:r>
    </w:p>
    <w:p w:rsidR="002C49E6" w:rsidRPr="002C49E6" w:rsidRDefault="002C49E6" w:rsidP="002C49E6">
      <w:pPr>
        <w:widowControl w:val="0"/>
        <w:spacing w:after="0" w:line="240" w:lineRule="auto"/>
        <w:jc w:val="both"/>
        <w:rPr>
          <w:rFonts w:eastAsia="MS Mincho"/>
          <w:snapToGrid w:val="0"/>
          <w:szCs w:val="24"/>
          <w:lang w:val="en-US" w:eastAsia="ja-JP"/>
        </w:rPr>
      </w:pPr>
    </w:p>
    <w:tbl>
      <w:tblPr>
        <w:tblW w:w="0" w:type="auto"/>
        <w:jc w:val="center"/>
        <w:tblLayout w:type="fixed"/>
        <w:tblLook w:val="0000" w:firstRow="0" w:lastRow="0" w:firstColumn="0" w:lastColumn="0" w:noHBand="0" w:noVBand="0"/>
      </w:tblPr>
      <w:tblGrid>
        <w:gridCol w:w="8647"/>
      </w:tblGrid>
      <w:tr w:rsidR="002C49E6" w:rsidRPr="002C49E6" w:rsidTr="00FF6B28">
        <w:trPr>
          <w:cantSplit/>
          <w:trHeight w:val="1623"/>
          <w:jc w:val="center"/>
        </w:trPr>
        <w:tc>
          <w:tcPr>
            <w:tcW w:w="8647" w:type="dxa"/>
          </w:tcPr>
          <w:p w:rsidR="002C49E6" w:rsidRPr="002C49E6" w:rsidRDefault="002C49E6" w:rsidP="002C49E6">
            <w:pPr>
              <w:widowControl w:val="0"/>
              <w:tabs>
                <w:tab w:val="left" w:pos="0"/>
                <w:tab w:val="left" w:pos="720"/>
                <w:tab w:val="left" w:pos="1086"/>
                <w:tab w:val="left" w:pos="1440"/>
              </w:tabs>
              <w:suppressAutoHyphens/>
              <w:spacing w:after="0" w:line="240" w:lineRule="auto"/>
              <w:jc w:val="center"/>
              <w:rPr>
                <w:rFonts w:eastAsia="Times New Roman"/>
                <w:b/>
                <w:snapToGrid w:val="0"/>
                <w:szCs w:val="24"/>
                <w:lang w:val="en-US" w:eastAsia="en-US"/>
              </w:rPr>
            </w:pPr>
            <w:r w:rsidRPr="002C49E6">
              <w:rPr>
                <w:rFonts w:eastAsia="Times New Roman"/>
                <w:b/>
                <w:noProof/>
                <w:snapToGrid w:val="0"/>
                <w:szCs w:val="24"/>
              </w:rPr>
              <w:lastRenderedPageBreak/>
              <w:drawing>
                <wp:inline distT="0" distB="0" distL="0" distR="0" wp14:anchorId="269B5B8A" wp14:editId="31139360">
                  <wp:extent cx="3700973" cy="2525768"/>
                  <wp:effectExtent l="0" t="0" r="0" b="825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5129" cy="2528604"/>
                          </a:xfrm>
                          <a:prstGeom prst="rect">
                            <a:avLst/>
                          </a:prstGeom>
                          <a:noFill/>
                          <a:ln>
                            <a:noFill/>
                          </a:ln>
                        </pic:spPr>
                      </pic:pic>
                    </a:graphicData>
                  </a:graphic>
                </wp:inline>
              </w:drawing>
            </w:r>
          </w:p>
        </w:tc>
      </w:tr>
    </w:tbl>
    <w:p w:rsidR="002C49E6" w:rsidRPr="002C49E6" w:rsidRDefault="002C49E6" w:rsidP="002C49E6">
      <w:pPr>
        <w:widowControl w:val="0"/>
        <w:tabs>
          <w:tab w:val="left" w:pos="0"/>
        </w:tabs>
        <w:suppressAutoHyphens/>
        <w:spacing w:after="0" w:line="240" w:lineRule="auto"/>
        <w:jc w:val="both"/>
        <w:rPr>
          <w:rFonts w:eastAsia="Times New Roman"/>
          <w:snapToGrid w:val="0"/>
          <w:szCs w:val="24"/>
          <w:lang w:val="en-US" w:eastAsia="en-US"/>
        </w:rPr>
      </w:pPr>
    </w:p>
    <w:p w:rsidR="002C49E6" w:rsidRPr="002C49E6" w:rsidRDefault="002C49E6" w:rsidP="002C49E6">
      <w:pPr>
        <w:widowControl w:val="0"/>
        <w:spacing w:after="0" w:line="240" w:lineRule="auto"/>
        <w:jc w:val="center"/>
        <w:rPr>
          <w:rFonts w:eastAsia="Times New Roman"/>
          <w:snapToGrid w:val="0"/>
          <w:szCs w:val="24"/>
          <w:lang w:val="en-US" w:eastAsia="en-US"/>
        </w:rPr>
      </w:pPr>
      <w:r w:rsidRPr="002C49E6">
        <w:rPr>
          <w:rFonts w:eastAsia="Times New Roman"/>
          <w:snapToGrid w:val="0"/>
          <w:sz w:val="20"/>
          <w:szCs w:val="24"/>
          <w:lang w:val="en-US" w:eastAsia="en-US"/>
        </w:rPr>
        <w:t xml:space="preserve">Figure 6. </w:t>
      </w:r>
      <w:r w:rsidRPr="002C49E6">
        <w:rPr>
          <w:rFonts w:eastAsia="Times New Roman"/>
          <w:snapToGrid w:val="0"/>
          <w:sz w:val="20"/>
          <w:szCs w:val="24"/>
          <w:lang w:val="en-US" w:eastAsia="ja-JP"/>
        </w:rPr>
        <w:t xml:space="preserve">Low-cycle fatigue characteristics of </w:t>
      </w:r>
      <w:r w:rsidRPr="002C49E6">
        <w:rPr>
          <w:rFonts w:eastAsia="Times New Roman"/>
          <w:snapToGrid w:val="0"/>
          <w:sz w:val="20"/>
          <w:szCs w:val="20"/>
          <w:lang w:val="en-US" w:eastAsia="en-US"/>
        </w:rPr>
        <w:t>Fe–15Mn–4Si–10Cr–8Ni alloy</w:t>
      </w:r>
    </w:p>
    <w:p w:rsidR="002C49E6" w:rsidRPr="002C49E6" w:rsidRDefault="002C49E6" w:rsidP="002C49E6">
      <w:pPr>
        <w:widowControl w:val="0"/>
        <w:spacing w:after="0" w:line="240" w:lineRule="auto"/>
        <w:jc w:val="both"/>
        <w:rPr>
          <w:rFonts w:ascii="MS Mincho" w:eastAsia="MS Mincho" w:hAnsi="MS Mincho"/>
          <w:snapToGrid w:val="0"/>
          <w:szCs w:val="24"/>
          <w:lang w:val="en-US" w:eastAsia="ja-JP"/>
        </w:rPr>
      </w:pPr>
    </w:p>
    <w:p w:rsidR="002C49E6" w:rsidRPr="002C49E6" w:rsidRDefault="002C49E6" w:rsidP="002C49E6">
      <w:pPr>
        <w:widowControl w:val="0"/>
        <w:spacing w:after="0" w:line="240" w:lineRule="auto"/>
        <w:jc w:val="both"/>
        <w:rPr>
          <w:rFonts w:eastAsia="Times New Roman"/>
          <w:snapToGrid w:val="0"/>
          <w:szCs w:val="24"/>
          <w:lang w:val="en-US" w:eastAsia="ja-JP"/>
        </w:rPr>
      </w:pPr>
      <w:r w:rsidRPr="002C49E6">
        <w:rPr>
          <w:rFonts w:eastAsia="Times New Roman"/>
          <w:snapToGrid w:val="0"/>
          <w:szCs w:val="24"/>
          <w:lang w:val="en-US" w:eastAsia="en-US"/>
        </w:rPr>
        <w:t>Figure 7 shows the stress–strain hysteresis loops at various strain amplitudes. Each stress–strain curve shown in Figure 7 was plotted over roughly half the fatigue lifetime (</w:t>
      </w:r>
      <w:r w:rsidRPr="002C49E6">
        <w:rPr>
          <w:rFonts w:eastAsia="Times New Roman"/>
          <w:i/>
          <w:snapToGrid w:val="0"/>
          <w:szCs w:val="24"/>
          <w:lang w:val="en-US" w:eastAsia="en-US"/>
        </w:rPr>
        <w:t>N</w:t>
      </w:r>
      <w:r w:rsidRPr="002C49E6">
        <w:rPr>
          <w:rFonts w:eastAsia="Times New Roman"/>
          <w:i/>
          <w:snapToGrid w:val="0"/>
          <w:szCs w:val="24"/>
          <w:vertAlign w:val="subscript"/>
          <w:lang w:val="en-US" w:eastAsia="en-US"/>
        </w:rPr>
        <w:t>f</w:t>
      </w:r>
      <w:r w:rsidRPr="002C49E6">
        <w:rPr>
          <w:rFonts w:eastAsia="Times New Roman"/>
          <w:i/>
          <w:snapToGrid w:val="0"/>
          <w:szCs w:val="24"/>
          <w:lang w:val="en-US" w:eastAsia="en-US"/>
        </w:rPr>
        <w:t> </w:t>
      </w:r>
      <w:r w:rsidRPr="002C49E6">
        <w:rPr>
          <w:rFonts w:eastAsia="Times New Roman"/>
          <w:snapToGrid w:val="0"/>
          <w:szCs w:val="24"/>
          <w:lang w:val="en-US" w:eastAsia="en-US"/>
        </w:rPr>
        <w:t xml:space="preserve">/2) in each test. </w:t>
      </w:r>
      <w:r w:rsidRPr="002C49E6">
        <w:rPr>
          <w:rFonts w:eastAsia="Times New Roman"/>
          <w:snapToGrid w:val="0"/>
          <w:szCs w:val="24"/>
          <w:lang w:val="en-US" w:eastAsia="ja-JP"/>
        </w:rPr>
        <w:t>The alloy exhibited stable hysteresis loops across a range of strain form small to large. As a comparison, Figure 8 shows the</w:t>
      </w:r>
      <w:r w:rsidRPr="002C49E6">
        <w:rPr>
          <w:rFonts w:eastAsia="Times New Roman"/>
          <w:snapToGrid w:val="0"/>
          <w:szCs w:val="24"/>
          <w:lang w:val="en-US" w:eastAsia="en-US"/>
        </w:rPr>
        <w:t xml:space="preserve"> stress–strain hysteresis </w:t>
      </w:r>
      <w:r w:rsidRPr="002C49E6">
        <w:rPr>
          <w:rFonts w:eastAsia="Times New Roman"/>
          <w:snapToGrid w:val="0"/>
          <w:sz w:val="20"/>
          <w:szCs w:val="20"/>
          <w:lang w:val="en-US" w:eastAsia="en-US"/>
        </w:rPr>
        <w:t xml:space="preserve">loops of </w:t>
      </w:r>
      <w:r w:rsidRPr="002C49E6">
        <w:rPr>
          <w:rFonts w:eastAsia="MS Mincho"/>
          <w:snapToGrid w:val="0"/>
          <w:szCs w:val="24"/>
          <w:lang w:val="en-US" w:eastAsia="ja-JP"/>
        </w:rPr>
        <w:t>LY225. As Figure 7 and 8 show</w:t>
      </w:r>
      <w:r w:rsidRPr="002C49E6">
        <w:rPr>
          <w:rFonts w:eastAsia="MS Mincho" w:hint="eastAsia"/>
          <w:snapToGrid w:val="0"/>
          <w:szCs w:val="24"/>
          <w:lang w:val="en-US" w:eastAsia="ja-JP"/>
        </w:rPr>
        <w:t xml:space="preserve">, </w:t>
      </w:r>
      <w:r w:rsidRPr="002C49E6">
        <w:rPr>
          <w:rFonts w:eastAsia="MS Mincho"/>
          <w:snapToGrid w:val="0"/>
          <w:szCs w:val="24"/>
          <w:lang w:val="en-US" w:eastAsia="ja-JP"/>
        </w:rPr>
        <w:t>the stress</w:t>
      </w:r>
      <w:r w:rsidRPr="002C49E6">
        <w:rPr>
          <w:rFonts w:eastAsia="Times New Roman"/>
          <w:snapToGrid w:val="0"/>
          <w:szCs w:val="24"/>
          <w:lang w:val="en-US" w:eastAsia="en-US"/>
        </w:rPr>
        <w:t>–</w:t>
      </w:r>
      <w:r w:rsidRPr="002C49E6">
        <w:rPr>
          <w:rFonts w:eastAsia="MS Mincho"/>
          <w:snapToGrid w:val="0"/>
          <w:szCs w:val="24"/>
          <w:lang w:val="en-US" w:eastAsia="ja-JP"/>
        </w:rPr>
        <w:t xml:space="preserve">strain hysteresis loops of this alloy are </w:t>
      </w:r>
      <w:r w:rsidRPr="002C49E6">
        <w:rPr>
          <w:rFonts w:eastAsia="Times New Roman"/>
          <w:snapToGrid w:val="0"/>
          <w:szCs w:val="24"/>
          <w:lang w:val="en-US" w:eastAsia="en-US"/>
        </w:rPr>
        <w:t>different in shape from those of LY225.</w:t>
      </w:r>
      <w:r w:rsidRPr="002C49E6">
        <w:rPr>
          <w:rFonts w:eastAsia="Times New Roman"/>
          <w:snapToGrid w:val="0"/>
          <w:szCs w:val="24"/>
          <w:lang w:val="en-US" w:eastAsia="ja-JP"/>
        </w:rPr>
        <w:t xml:space="preserve"> Because of strain hardening, the hysteresis loops of the alloy are characterized by a larger rise in stress in the plastic region compared to that for LY225.</w:t>
      </w:r>
    </w:p>
    <w:p w:rsidR="002C49E6" w:rsidRPr="002C49E6" w:rsidRDefault="002C49E6" w:rsidP="002C49E6">
      <w:pPr>
        <w:widowControl w:val="0"/>
        <w:spacing w:after="0" w:line="240" w:lineRule="auto"/>
        <w:jc w:val="both"/>
        <w:rPr>
          <w:rFonts w:eastAsia="Times New Roman"/>
          <w:snapToGrid w:val="0"/>
          <w:szCs w:val="24"/>
          <w:lang w:val="en-US" w:eastAsia="ja-JP"/>
        </w:rPr>
      </w:pPr>
    </w:p>
    <w:p w:rsidR="002C49E6" w:rsidRPr="002C49E6" w:rsidRDefault="002C49E6" w:rsidP="002C49E6">
      <w:pPr>
        <w:framePr w:hSpace="142" w:wrap="around" w:vAnchor="text" w:hAnchor="margin" w:xAlign="center" w:y="123"/>
        <w:widowControl w:val="0"/>
        <w:spacing w:after="0" w:line="240" w:lineRule="auto"/>
        <w:jc w:val="both"/>
        <w:rPr>
          <w:rFonts w:ascii="MS Mincho" w:eastAsia="MS Mincho" w:hAnsi="MS Mincho"/>
          <w:snapToGrid w:val="0"/>
          <w:color w:val="9BBB59"/>
          <w:szCs w:val="24"/>
          <w:lang w:val="en-US" w:eastAsia="ja-JP"/>
        </w:rPr>
      </w:pPr>
    </w:p>
    <w:tbl>
      <w:tblPr>
        <w:tblpPr w:leftFromText="142" w:rightFromText="142" w:vertAnchor="text" w:horzAnchor="margin" w:tblpXSpec="center" w:tblpY="123"/>
        <w:tblW w:w="0" w:type="auto"/>
        <w:tblLayout w:type="fixed"/>
        <w:tblLook w:val="0000" w:firstRow="0" w:lastRow="0" w:firstColumn="0" w:lastColumn="0" w:noHBand="0" w:noVBand="0"/>
      </w:tblPr>
      <w:tblGrid>
        <w:gridCol w:w="9707"/>
      </w:tblGrid>
      <w:tr w:rsidR="002C49E6" w:rsidRPr="002C49E6" w:rsidTr="00FF6B28">
        <w:trPr>
          <w:cantSplit/>
          <w:trHeight w:val="2609"/>
        </w:trPr>
        <w:tc>
          <w:tcPr>
            <w:tcW w:w="9707" w:type="dxa"/>
            <w:vAlign w:val="center"/>
          </w:tcPr>
          <w:p w:rsidR="002C49E6" w:rsidRPr="002C49E6" w:rsidRDefault="002C49E6" w:rsidP="002C49E6">
            <w:pPr>
              <w:widowControl w:val="0"/>
              <w:tabs>
                <w:tab w:val="left" w:pos="0"/>
                <w:tab w:val="left" w:pos="720"/>
                <w:tab w:val="left" w:pos="1086"/>
                <w:tab w:val="left" w:pos="1440"/>
              </w:tabs>
              <w:suppressAutoHyphens/>
              <w:spacing w:after="0" w:line="240" w:lineRule="auto"/>
              <w:jc w:val="both"/>
              <w:rPr>
                <w:rFonts w:ascii="MS Mincho" w:eastAsia="MS Mincho" w:hAnsi="MS Mincho"/>
                <w:noProof/>
                <w:snapToGrid w:val="0"/>
                <w:szCs w:val="24"/>
                <w:lang w:val="en-US" w:eastAsia="ja-JP"/>
              </w:rPr>
            </w:pPr>
            <w:r w:rsidRPr="002C49E6">
              <w:rPr>
                <w:rFonts w:ascii="MS Mincho" w:eastAsia="MS Mincho" w:hAnsi="MS Mincho"/>
                <w:noProof/>
                <w:snapToGrid w:val="0"/>
                <w:szCs w:val="24"/>
              </w:rPr>
              <w:drawing>
                <wp:inline distT="0" distB="0" distL="0" distR="0" wp14:anchorId="5709A656" wp14:editId="283F10A1">
                  <wp:extent cx="1979280" cy="1687320"/>
                  <wp:effectExtent l="0" t="0" r="2540" b="8255"/>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4"/>
                          <a:stretch>
                            <a:fillRect/>
                          </a:stretch>
                        </pic:blipFill>
                        <pic:spPr>
                          <a:xfrm>
                            <a:off x="0" y="0"/>
                            <a:ext cx="1979280" cy="1687320"/>
                          </a:xfrm>
                          <a:prstGeom prst="rect">
                            <a:avLst/>
                          </a:prstGeom>
                        </pic:spPr>
                      </pic:pic>
                    </a:graphicData>
                  </a:graphic>
                </wp:inline>
              </w:drawing>
            </w:r>
            <w:r w:rsidRPr="002C49E6">
              <w:rPr>
                <w:rFonts w:ascii="MS Mincho" w:eastAsia="MS Mincho" w:hAnsi="MS Mincho"/>
                <w:noProof/>
                <w:snapToGrid w:val="0"/>
                <w:szCs w:val="24"/>
              </w:rPr>
              <w:drawing>
                <wp:inline distT="0" distB="0" distL="0" distR="0" wp14:anchorId="166DACBC" wp14:editId="08885D46">
                  <wp:extent cx="1964880" cy="1675440"/>
                  <wp:effectExtent l="0" t="0" r="0" b="1270"/>
                  <wp:docPr id="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5"/>
                          <a:stretch>
                            <a:fillRect/>
                          </a:stretch>
                        </pic:blipFill>
                        <pic:spPr>
                          <a:xfrm>
                            <a:off x="0" y="0"/>
                            <a:ext cx="1964880" cy="1675440"/>
                          </a:xfrm>
                          <a:prstGeom prst="rect">
                            <a:avLst/>
                          </a:prstGeom>
                        </pic:spPr>
                      </pic:pic>
                    </a:graphicData>
                  </a:graphic>
                </wp:inline>
              </w:drawing>
            </w:r>
            <w:r w:rsidRPr="002C49E6">
              <w:rPr>
                <w:rFonts w:ascii="MS Mincho" w:eastAsia="MS Mincho" w:hAnsi="MS Mincho"/>
                <w:noProof/>
                <w:snapToGrid w:val="0"/>
                <w:szCs w:val="24"/>
              </w:rPr>
              <w:drawing>
                <wp:inline distT="0" distB="0" distL="0" distR="0" wp14:anchorId="726F0A03" wp14:editId="28E00F26">
                  <wp:extent cx="1962360" cy="1679040"/>
                  <wp:effectExtent l="0" t="0" r="0" b="0"/>
                  <wp:docPr id="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6"/>
                          <a:stretch>
                            <a:fillRect/>
                          </a:stretch>
                        </pic:blipFill>
                        <pic:spPr>
                          <a:xfrm>
                            <a:off x="0" y="0"/>
                            <a:ext cx="1962360" cy="1679040"/>
                          </a:xfrm>
                          <a:prstGeom prst="rect">
                            <a:avLst/>
                          </a:prstGeom>
                        </pic:spPr>
                      </pic:pic>
                    </a:graphicData>
                  </a:graphic>
                </wp:inline>
              </w:drawing>
            </w:r>
          </w:p>
        </w:tc>
      </w:tr>
    </w:tbl>
    <w:p w:rsidR="002C49E6" w:rsidRPr="002C49E6" w:rsidRDefault="002C49E6" w:rsidP="002C49E6">
      <w:pPr>
        <w:widowControl w:val="0"/>
        <w:spacing w:after="0" w:line="240" w:lineRule="auto"/>
        <w:jc w:val="center"/>
        <w:rPr>
          <w:rFonts w:eastAsia="Times New Roman"/>
          <w:snapToGrid w:val="0"/>
          <w:sz w:val="20"/>
          <w:szCs w:val="24"/>
          <w:lang w:val="en-US" w:eastAsia="en-US"/>
        </w:rPr>
      </w:pPr>
    </w:p>
    <w:p w:rsidR="002C49E6" w:rsidRPr="002C49E6" w:rsidRDefault="002C49E6" w:rsidP="002C49E6">
      <w:pPr>
        <w:widowControl w:val="0"/>
        <w:spacing w:after="0" w:line="240" w:lineRule="auto"/>
        <w:jc w:val="center"/>
        <w:rPr>
          <w:rFonts w:eastAsia="Times New Roman"/>
          <w:snapToGrid w:val="0"/>
          <w:sz w:val="20"/>
          <w:szCs w:val="24"/>
          <w:lang w:val="en-US" w:eastAsia="en-US"/>
        </w:rPr>
      </w:pPr>
      <w:r w:rsidRPr="002C49E6">
        <w:rPr>
          <w:rFonts w:eastAsia="Times New Roman"/>
          <w:snapToGrid w:val="0"/>
          <w:sz w:val="20"/>
          <w:szCs w:val="24"/>
          <w:lang w:val="en-US" w:eastAsia="en-US"/>
        </w:rPr>
        <w:t xml:space="preserve">Figure 7. Stress–strain hysteresis loops of </w:t>
      </w:r>
      <w:r w:rsidRPr="002C49E6">
        <w:rPr>
          <w:rFonts w:eastAsia="Times New Roman"/>
          <w:snapToGrid w:val="0"/>
          <w:sz w:val="20"/>
          <w:szCs w:val="20"/>
          <w:lang w:val="en-US" w:eastAsia="en-US"/>
        </w:rPr>
        <w:t>Fe–15Mn–4Si–10Cr–8Ni alloy</w:t>
      </w:r>
      <w:r w:rsidRPr="002C49E6">
        <w:rPr>
          <w:rFonts w:eastAsia="Times New Roman"/>
          <w:snapToGrid w:val="0"/>
          <w:sz w:val="20"/>
          <w:szCs w:val="24"/>
          <w:lang w:val="en-US" w:eastAsia="ja-JP"/>
        </w:rPr>
        <w:t xml:space="preserve"> </w:t>
      </w:r>
      <w:r w:rsidRPr="002C49E6">
        <w:rPr>
          <w:rFonts w:eastAsia="Times New Roman"/>
          <w:snapToGrid w:val="0"/>
          <w:sz w:val="20"/>
          <w:szCs w:val="24"/>
          <w:lang w:val="en-US" w:eastAsia="en-US"/>
        </w:rPr>
        <w:t>during low-cycle fatigue tests</w:t>
      </w:r>
    </w:p>
    <w:p w:rsidR="002C49E6" w:rsidRPr="002C49E6" w:rsidRDefault="002C49E6" w:rsidP="002C49E6">
      <w:pPr>
        <w:widowControl w:val="0"/>
        <w:spacing w:after="0" w:line="240" w:lineRule="auto"/>
        <w:jc w:val="center"/>
        <w:rPr>
          <w:rFonts w:eastAsia="Times New Roman"/>
          <w:snapToGrid w:val="0"/>
          <w:sz w:val="20"/>
          <w:szCs w:val="20"/>
          <w:lang w:val="en-US" w:eastAsia="en-US"/>
        </w:rPr>
      </w:pPr>
    </w:p>
    <w:p w:rsidR="002C49E6" w:rsidRPr="002C49E6" w:rsidRDefault="002C49E6" w:rsidP="002C49E6">
      <w:pPr>
        <w:framePr w:hSpace="142" w:wrap="around" w:vAnchor="text" w:hAnchor="margin" w:xAlign="center" w:y="123"/>
        <w:widowControl w:val="0"/>
        <w:spacing w:after="0" w:line="240" w:lineRule="auto"/>
        <w:jc w:val="both"/>
        <w:rPr>
          <w:rFonts w:ascii="MS Mincho" w:eastAsia="MS Mincho" w:hAnsi="MS Mincho"/>
          <w:snapToGrid w:val="0"/>
          <w:color w:val="9BBB59"/>
          <w:szCs w:val="24"/>
          <w:lang w:val="en-US" w:eastAsia="ja-JP"/>
        </w:rPr>
      </w:pPr>
    </w:p>
    <w:tbl>
      <w:tblPr>
        <w:tblpPr w:leftFromText="142" w:rightFromText="142" w:vertAnchor="text" w:horzAnchor="margin" w:tblpXSpec="center" w:tblpY="123"/>
        <w:tblW w:w="0" w:type="auto"/>
        <w:tblLayout w:type="fixed"/>
        <w:tblLook w:val="0000" w:firstRow="0" w:lastRow="0" w:firstColumn="0" w:lastColumn="0" w:noHBand="0" w:noVBand="0"/>
      </w:tblPr>
      <w:tblGrid>
        <w:gridCol w:w="9707"/>
      </w:tblGrid>
      <w:tr w:rsidR="002C49E6" w:rsidRPr="002C49E6" w:rsidTr="00FF6B28">
        <w:trPr>
          <w:cantSplit/>
          <w:trHeight w:val="2609"/>
        </w:trPr>
        <w:tc>
          <w:tcPr>
            <w:tcW w:w="9707" w:type="dxa"/>
            <w:vAlign w:val="center"/>
          </w:tcPr>
          <w:p w:rsidR="002C49E6" w:rsidRPr="002C49E6" w:rsidRDefault="002C49E6" w:rsidP="002C49E6">
            <w:pPr>
              <w:widowControl w:val="0"/>
              <w:tabs>
                <w:tab w:val="left" w:pos="0"/>
                <w:tab w:val="left" w:pos="720"/>
                <w:tab w:val="left" w:pos="1086"/>
                <w:tab w:val="left" w:pos="1440"/>
              </w:tabs>
              <w:suppressAutoHyphens/>
              <w:spacing w:after="0" w:line="240" w:lineRule="auto"/>
              <w:jc w:val="both"/>
              <w:rPr>
                <w:rFonts w:ascii="MS Mincho" w:eastAsia="MS Mincho" w:hAnsi="MS Mincho"/>
                <w:noProof/>
                <w:snapToGrid w:val="0"/>
                <w:szCs w:val="24"/>
                <w:lang w:val="en-US" w:eastAsia="ja-JP"/>
              </w:rPr>
            </w:pPr>
            <w:r w:rsidRPr="002C49E6">
              <w:rPr>
                <w:rFonts w:ascii="MS Mincho" w:eastAsia="MS Mincho" w:hAnsi="MS Mincho"/>
                <w:noProof/>
                <w:snapToGrid w:val="0"/>
                <w:szCs w:val="24"/>
              </w:rPr>
              <w:drawing>
                <wp:inline distT="0" distB="0" distL="0" distR="0" wp14:anchorId="36B1FA99" wp14:editId="64E79898">
                  <wp:extent cx="1965960" cy="1681920"/>
                  <wp:effectExtent l="0" t="0" r="0" b="0"/>
                  <wp:docPr id="1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5960" cy="1681920"/>
                          </a:xfrm>
                          <a:prstGeom prst="rect">
                            <a:avLst/>
                          </a:prstGeom>
                          <a:noFill/>
                          <a:ln>
                            <a:noFill/>
                          </a:ln>
                        </pic:spPr>
                      </pic:pic>
                    </a:graphicData>
                  </a:graphic>
                </wp:inline>
              </w:drawing>
            </w:r>
            <w:r w:rsidRPr="002C49E6">
              <w:rPr>
                <w:rFonts w:ascii="MS Mincho" w:eastAsia="MS Mincho" w:hAnsi="MS Mincho"/>
                <w:noProof/>
                <w:snapToGrid w:val="0"/>
                <w:szCs w:val="24"/>
              </w:rPr>
              <w:drawing>
                <wp:inline distT="0" distB="0" distL="0" distR="0" wp14:anchorId="23D5F755" wp14:editId="627E31DF">
                  <wp:extent cx="1965960" cy="1681560"/>
                  <wp:effectExtent l="0" t="0" r="0" b="0"/>
                  <wp:docPr id="14"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5960" cy="1681560"/>
                          </a:xfrm>
                          <a:prstGeom prst="rect">
                            <a:avLst/>
                          </a:prstGeom>
                          <a:noFill/>
                          <a:ln>
                            <a:noFill/>
                          </a:ln>
                        </pic:spPr>
                      </pic:pic>
                    </a:graphicData>
                  </a:graphic>
                </wp:inline>
              </w:drawing>
            </w:r>
            <w:r w:rsidRPr="002C49E6">
              <w:rPr>
                <w:rFonts w:ascii="MS Mincho" w:eastAsia="MS Mincho" w:hAnsi="MS Mincho"/>
                <w:noProof/>
                <w:snapToGrid w:val="0"/>
                <w:szCs w:val="24"/>
              </w:rPr>
              <w:drawing>
                <wp:inline distT="0" distB="0" distL="0" distR="0" wp14:anchorId="1E4C287B" wp14:editId="6AB9C2CF">
                  <wp:extent cx="1965960" cy="1681560"/>
                  <wp:effectExtent l="0" t="0" r="0" b="0"/>
                  <wp:docPr id="1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5960" cy="1681560"/>
                          </a:xfrm>
                          <a:prstGeom prst="rect">
                            <a:avLst/>
                          </a:prstGeom>
                          <a:noFill/>
                          <a:ln>
                            <a:noFill/>
                          </a:ln>
                        </pic:spPr>
                      </pic:pic>
                    </a:graphicData>
                  </a:graphic>
                </wp:inline>
              </w:drawing>
            </w:r>
          </w:p>
        </w:tc>
      </w:tr>
    </w:tbl>
    <w:p w:rsidR="002C49E6" w:rsidRPr="002C49E6" w:rsidRDefault="002C49E6" w:rsidP="002C49E6">
      <w:pPr>
        <w:widowControl w:val="0"/>
        <w:spacing w:after="0" w:line="240" w:lineRule="auto"/>
        <w:jc w:val="center"/>
        <w:rPr>
          <w:rFonts w:eastAsia="Times New Roman"/>
          <w:snapToGrid w:val="0"/>
          <w:sz w:val="20"/>
          <w:szCs w:val="24"/>
          <w:lang w:val="en-US" w:eastAsia="en-US"/>
        </w:rPr>
      </w:pPr>
    </w:p>
    <w:p w:rsidR="002C49E6" w:rsidRPr="002C49E6" w:rsidRDefault="002C49E6" w:rsidP="002C49E6">
      <w:pPr>
        <w:widowControl w:val="0"/>
        <w:spacing w:after="0" w:line="240" w:lineRule="auto"/>
        <w:jc w:val="center"/>
        <w:rPr>
          <w:rFonts w:eastAsia="Times New Roman"/>
          <w:snapToGrid w:val="0"/>
          <w:sz w:val="20"/>
          <w:szCs w:val="24"/>
          <w:lang w:val="en-US" w:eastAsia="en-US"/>
        </w:rPr>
      </w:pPr>
      <w:r w:rsidRPr="002C49E6">
        <w:rPr>
          <w:rFonts w:eastAsia="Times New Roman"/>
          <w:snapToGrid w:val="0"/>
          <w:sz w:val="20"/>
          <w:szCs w:val="24"/>
          <w:lang w:val="en-US" w:eastAsia="en-US"/>
        </w:rPr>
        <w:t xml:space="preserve">Figure 8. Stress–strain hysteresis loops of </w:t>
      </w:r>
      <w:r w:rsidRPr="002C49E6">
        <w:rPr>
          <w:rFonts w:eastAsia="MS Mincho"/>
          <w:snapToGrid w:val="0"/>
          <w:sz w:val="20"/>
          <w:szCs w:val="24"/>
          <w:lang w:val="en-US" w:eastAsia="ja-JP"/>
        </w:rPr>
        <w:t>low-yield-point steel (LY225)</w:t>
      </w:r>
      <w:r w:rsidRPr="002C49E6">
        <w:rPr>
          <w:rFonts w:eastAsia="Times New Roman"/>
          <w:snapToGrid w:val="0"/>
          <w:sz w:val="20"/>
          <w:szCs w:val="24"/>
          <w:lang w:val="en-US" w:eastAsia="ja-JP"/>
        </w:rPr>
        <w:t xml:space="preserve"> </w:t>
      </w:r>
      <w:r w:rsidRPr="002C49E6">
        <w:rPr>
          <w:rFonts w:eastAsia="Times New Roman"/>
          <w:snapToGrid w:val="0"/>
          <w:sz w:val="20"/>
          <w:szCs w:val="24"/>
          <w:lang w:val="en-US" w:eastAsia="en-US"/>
        </w:rPr>
        <w:t>during low-cycle fatigue tests</w:t>
      </w:r>
    </w:p>
    <w:p w:rsidR="002C49E6" w:rsidRPr="002C49E6" w:rsidRDefault="002C49E6" w:rsidP="002C49E6">
      <w:pPr>
        <w:widowControl w:val="0"/>
        <w:spacing w:after="0" w:line="240" w:lineRule="auto"/>
        <w:jc w:val="center"/>
        <w:rPr>
          <w:rFonts w:eastAsia="Times New Roman"/>
          <w:snapToGrid w:val="0"/>
          <w:sz w:val="20"/>
          <w:szCs w:val="20"/>
          <w:lang w:val="en-US" w:eastAsia="en-US"/>
        </w:rPr>
      </w:pPr>
    </w:p>
    <w:p w:rsidR="002C49E6" w:rsidRPr="002C49E6" w:rsidRDefault="002C49E6" w:rsidP="002C49E6">
      <w:pPr>
        <w:widowControl w:val="0"/>
        <w:spacing w:after="0" w:line="240" w:lineRule="auto"/>
        <w:jc w:val="both"/>
        <w:rPr>
          <w:rFonts w:eastAsia="Times New Roman"/>
          <w:snapToGrid w:val="0"/>
          <w:szCs w:val="24"/>
          <w:lang w:val="en-US" w:eastAsia="en-US"/>
        </w:rPr>
      </w:pPr>
      <w:r w:rsidRPr="002C49E6">
        <w:rPr>
          <w:rFonts w:eastAsia="Times New Roman"/>
          <w:snapToGrid w:val="0"/>
          <w:szCs w:val="24"/>
          <w:lang w:val="en-US" w:eastAsia="en-US"/>
        </w:rPr>
        <w:t>Figure 9 shows the evolution of the tensile and compressive peak stress with the number of cycles for each low-cycle fatigue test.</w:t>
      </w:r>
      <w:r w:rsidRPr="002C49E6">
        <w:rPr>
          <w:rFonts w:eastAsia="Times New Roman"/>
          <w:snapToGrid w:val="0"/>
          <w:color w:val="FF0000"/>
          <w:szCs w:val="24"/>
          <w:lang w:val="en-US" w:eastAsia="en-US"/>
        </w:rPr>
        <w:t xml:space="preserve"> </w:t>
      </w:r>
      <w:r w:rsidRPr="002C49E6">
        <w:rPr>
          <w:rFonts w:eastAsia="Times New Roman"/>
          <w:snapToGrid w:val="0"/>
          <w:szCs w:val="24"/>
          <w:lang w:val="en-US" w:eastAsia="en-US"/>
        </w:rPr>
        <w:t xml:space="preserve">As Figure 9 shows, the peak stress increased because of strain hardening in </w:t>
      </w:r>
      <w:r w:rsidRPr="002C49E6">
        <w:rPr>
          <w:rFonts w:eastAsia="Times New Roman"/>
          <w:snapToGrid w:val="0"/>
          <w:szCs w:val="24"/>
          <w:lang w:val="en-US" w:eastAsia="en-US"/>
        </w:rPr>
        <w:lastRenderedPageBreak/>
        <w:t>approximately 1–10 cycles. This confirms that the peak stress was stable until just before failure.</w:t>
      </w:r>
    </w:p>
    <w:p w:rsidR="002C49E6" w:rsidRPr="002C49E6" w:rsidRDefault="002C49E6" w:rsidP="002C49E6">
      <w:pPr>
        <w:widowControl w:val="0"/>
        <w:spacing w:after="0" w:line="240" w:lineRule="auto"/>
        <w:jc w:val="center"/>
        <w:rPr>
          <w:rFonts w:ascii="MS Mincho" w:eastAsia="MS Mincho" w:hAnsi="MS Mincho"/>
          <w:snapToGrid w:val="0"/>
          <w:szCs w:val="24"/>
          <w:lang w:val="en-US" w:eastAsia="ja-JP"/>
        </w:rPr>
      </w:pPr>
    </w:p>
    <w:tbl>
      <w:tblPr>
        <w:tblpPr w:leftFromText="142" w:rightFromText="142" w:vertAnchor="text" w:horzAnchor="margin" w:tblpXSpec="center" w:tblpY="123"/>
        <w:tblW w:w="0" w:type="auto"/>
        <w:tblLayout w:type="fixed"/>
        <w:tblLook w:val="0000" w:firstRow="0" w:lastRow="0" w:firstColumn="0" w:lastColumn="0" w:noHBand="0" w:noVBand="0"/>
      </w:tblPr>
      <w:tblGrid>
        <w:gridCol w:w="9356"/>
      </w:tblGrid>
      <w:tr w:rsidR="002C49E6" w:rsidRPr="002C49E6" w:rsidTr="00FF6B28">
        <w:trPr>
          <w:cantSplit/>
          <w:trHeight w:val="2694"/>
        </w:trPr>
        <w:tc>
          <w:tcPr>
            <w:tcW w:w="9356" w:type="dxa"/>
            <w:vAlign w:val="center"/>
          </w:tcPr>
          <w:p w:rsidR="002C49E6" w:rsidRPr="002C49E6" w:rsidRDefault="002C49E6" w:rsidP="002C49E6">
            <w:pPr>
              <w:widowControl w:val="0"/>
              <w:tabs>
                <w:tab w:val="left" w:pos="0"/>
                <w:tab w:val="left" w:pos="720"/>
                <w:tab w:val="left" w:pos="1086"/>
                <w:tab w:val="left" w:pos="1440"/>
              </w:tabs>
              <w:suppressAutoHyphens/>
              <w:spacing w:after="0" w:line="240" w:lineRule="auto"/>
              <w:jc w:val="center"/>
              <w:rPr>
                <w:rFonts w:ascii="MS Mincho" w:eastAsia="MS Mincho" w:hAnsi="MS Mincho"/>
                <w:noProof/>
                <w:snapToGrid w:val="0"/>
                <w:szCs w:val="24"/>
                <w:lang w:val="en-US" w:eastAsia="ja-JP"/>
              </w:rPr>
            </w:pPr>
            <w:r w:rsidRPr="002C49E6">
              <w:rPr>
                <w:rFonts w:ascii="MS Mincho" w:eastAsia="MS Mincho" w:hAnsi="MS Mincho"/>
                <w:noProof/>
                <w:snapToGrid w:val="0"/>
                <w:szCs w:val="24"/>
              </w:rPr>
              <w:drawing>
                <wp:inline distT="0" distB="0" distL="0" distR="0" wp14:anchorId="73736E04" wp14:editId="2E508218">
                  <wp:extent cx="3874544" cy="2421802"/>
                  <wp:effectExtent l="0" t="0" r="0" b="1905"/>
                  <wp:docPr id="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0"/>
                          <a:stretch>
                            <a:fillRect/>
                          </a:stretch>
                        </pic:blipFill>
                        <pic:spPr>
                          <a:xfrm>
                            <a:off x="0" y="0"/>
                            <a:ext cx="3874544" cy="2421802"/>
                          </a:xfrm>
                          <a:prstGeom prst="rect">
                            <a:avLst/>
                          </a:prstGeom>
                        </pic:spPr>
                      </pic:pic>
                    </a:graphicData>
                  </a:graphic>
                </wp:inline>
              </w:drawing>
            </w:r>
          </w:p>
          <w:p w:rsidR="002C49E6" w:rsidRPr="002C49E6" w:rsidRDefault="002C49E6" w:rsidP="002C49E6">
            <w:pPr>
              <w:widowControl w:val="0"/>
              <w:tabs>
                <w:tab w:val="left" w:pos="0"/>
                <w:tab w:val="left" w:pos="720"/>
                <w:tab w:val="left" w:pos="1086"/>
                <w:tab w:val="left" w:pos="1440"/>
              </w:tabs>
              <w:suppressAutoHyphens/>
              <w:spacing w:after="0" w:line="240" w:lineRule="auto"/>
              <w:jc w:val="center"/>
              <w:rPr>
                <w:rFonts w:ascii="MS Mincho" w:eastAsia="MS Mincho" w:hAnsi="MS Mincho"/>
                <w:noProof/>
                <w:snapToGrid w:val="0"/>
                <w:szCs w:val="24"/>
                <w:lang w:val="en-US" w:eastAsia="ja-JP"/>
              </w:rPr>
            </w:pPr>
            <w:r w:rsidRPr="002C49E6">
              <w:rPr>
                <w:rFonts w:ascii="MS Mincho" w:eastAsia="MS Mincho" w:hAnsi="MS Mincho" w:hint="eastAsia"/>
                <w:noProof/>
                <w:snapToGrid w:val="0"/>
                <w:szCs w:val="24"/>
              </w:rPr>
              <w:drawing>
                <wp:inline distT="0" distB="0" distL="0" distR="0" wp14:anchorId="619BA91C" wp14:editId="2BB38192">
                  <wp:extent cx="3889440" cy="2485080"/>
                  <wp:effectExtent l="0" t="0" r="0" b="0"/>
                  <wp:docPr id="1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9440" cy="2485080"/>
                          </a:xfrm>
                          <a:prstGeom prst="rect">
                            <a:avLst/>
                          </a:prstGeom>
                          <a:noFill/>
                          <a:ln>
                            <a:noFill/>
                          </a:ln>
                        </pic:spPr>
                      </pic:pic>
                    </a:graphicData>
                  </a:graphic>
                </wp:inline>
              </w:drawing>
            </w:r>
          </w:p>
          <w:p w:rsidR="002C49E6" w:rsidRPr="002C49E6" w:rsidRDefault="002C49E6" w:rsidP="002C49E6">
            <w:pPr>
              <w:widowControl w:val="0"/>
              <w:tabs>
                <w:tab w:val="left" w:pos="0"/>
                <w:tab w:val="left" w:pos="720"/>
                <w:tab w:val="left" w:pos="1086"/>
                <w:tab w:val="left" w:pos="1440"/>
              </w:tabs>
              <w:suppressAutoHyphens/>
              <w:spacing w:after="0" w:line="240" w:lineRule="auto"/>
              <w:jc w:val="center"/>
              <w:rPr>
                <w:rFonts w:ascii="MS Mincho" w:eastAsia="MS Mincho" w:hAnsi="MS Mincho"/>
                <w:noProof/>
                <w:snapToGrid w:val="0"/>
                <w:szCs w:val="24"/>
                <w:lang w:val="en-US" w:eastAsia="ja-JP"/>
              </w:rPr>
            </w:pPr>
            <w:r w:rsidRPr="002C49E6">
              <w:rPr>
                <w:rFonts w:ascii="MS Mincho" w:eastAsia="MS Mincho" w:hAnsi="MS Mincho"/>
                <w:noProof/>
                <w:snapToGrid w:val="0"/>
                <w:szCs w:val="24"/>
              </w:rPr>
              <w:drawing>
                <wp:inline distT="0" distB="0" distL="0" distR="0" wp14:anchorId="207E952F" wp14:editId="332DE911">
                  <wp:extent cx="3957840" cy="2484720"/>
                  <wp:effectExtent l="0" t="0" r="5080" b="0"/>
                  <wp:docPr id="1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2"/>
                          <a:stretch>
                            <a:fillRect/>
                          </a:stretch>
                        </pic:blipFill>
                        <pic:spPr>
                          <a:xfrm>
                            <a:off x="0" y="0"/>
                            <a:ext cx="3957840" cy="2484720"/>
                          </a:xfrm>
                          <a:prstGeom prst="rect">
                            <a:avLst/>
                          </a:prstGeom>
                        </pic:spPr>
                      </pic:pic>
                    </a:graphicData>
                  </a:graphic>
                </wp:inline>
              </w:drawing>
            </w:r>
          </w:p>
        </w:tc>
      </w:tr>
    </w:tbl>
    <w:p w:rsidR="002C49E6" w:rsidRPr="002C49E6" w:rsidRDefault="002C49E6" w:rsidP="002C49E6">
      <w:pPr>
        <w:widowControl w:val="0"/>
        <w:spacing w:after="0" w:line="240" w:lineRule="auto"/>
        <w:jc w:val="center"/>
        <w:rPr>
          <w:rFonts w:eastAsia="Times New Roman"/>
          <w:snapToGrid w:val="0"/>
          <w:szCs w:val="24"/>
          <w:lang w:val="en-US" w:eastAsia="en-US"/>
        </w:rPr>
      </w:pPr>
    </w:p>
    <w:p w:rsidR="002C49E6" w:rsidRPr="002C49E6" w:rsidRDefault="002C49E6" w:rsidP="002C49E6">
      <w:pPr>
        <w:widowControl w:val="0"/>
        <w:spacing w:after="0" w:line="240" w:lineRule="auto"/>
        <w:jc w:val="center"/>
        <w:rPr>
          <w:rFonts w:eastAsia="Times New Roman"/>
          <w:snapToGrid w:val="0"/>
          <w:sz w:val="20"/>
          <w:szCs w:val="24"/>
          <w:lang w:val="en-US" w:eastAsia="en-US"/>
        </w:rPr>
      </w:pPr>
      <w:r w:rsidRPr="002C49E6">
        <w:rPr>
          <w:rFonts w:eastAsia="Times New Roman"/>
          <w:snapToGrid w:val="0"/>
          <w:sz w:val="20"/>
          <w:szCs w:val="24"/>
          <w:lang w:val="en-US" w:eastAsia="en-US"/>
        </w:rPr>
        <w:t>Figure 9. Peak stress during low-cycle fatigue tests</w:t>
      </w:r>
    </w:p>
    <w:p w:rsidR="002C49E6" w:rsidRPr="002C49E6" w:rsidRDefault="002C49E6" w:rsidP="002C49E6">
      <w:pPr>
        <w:widowControl w:val="0"/>
        <w:spacing w:after="0" w:line="240" w:lineRule="auto"/>
        <w:jc w:val="both"/>
        <w:rPr>
          <w:rFonts w:eastAsia="Times New Roman"/>
          <w:snapToGrid w:val="0"/>
          <w:szCs w:val="24"/>
          <w:lang w:val="en-US" w:eastAsia="en-US"/>
        </w:rPr>
      </w:pPr>
    </w:p>
    <w:p w:rsidR="002C49E6" w:rsidRPr="002C49E6" w:rsidRDefault="002C49E6" w:rsidP="002C49E6">
      <w:pPr>
        <w:keepNext/>
        <w:widowControl w:val="0"/>
        <w:tabs>
          <w:tab w:val="center" w:pos="4680"/>
        </w:tabs>
        <w:suppressAutoHyphens/>
        <w:spacing w:after="0" w:line="240" w:lineRule="auto"/>
        <w:jc w:val="both"/>
        <w:outlineLvl w:val="2"/>
        <w:rPr>
          <w:rFonts w:eastAsia="Times New Roman"/>
          <w:b/>
          <w:i/>
          <w:snapToGrid w:val="0"/>
          <w:szCs w:val="24"/>
          <w:lang w:val="en-US" w:eastAsia="en-US"/>
        </w:rPr>
      </w:pPr>
      <w:r w:rsidRPr="002C49E6">
        <w:rPr>
          <w:rFonts w:eastAsia="Times New Roman"/>
          <w:b/>
          <w:i/>
          <w:snapToGrid w:val="0"/>
          <w:szCs w:val="24"/>
          <w:lang w:val="en-US" w:eastAsia="en-US"/>
        </w:rPr>
        <w:t>3.3 Studies of analysis models</w:t>
      </w:r>
      <w:r w:rsidRPr="002C49E6">
        <w:rPr>
          <w:rFonts w:eastAsia="Times New Roman"/>
          <w:b/>
          <w:snapToGrid w:val="0"/>
          <w:szCs w:val="24"/>
          <w:lang w:val="en-US" w:eastAsia="en-US"/>
        </w:rPr>
        <w:t xml:space="preserve"> </w:t>
      </w:r>
    </w:p>
    <w:p w:rsidR="002C49E6" w:rsidRPr="002C49E6" w:rsidRDefault="002C49E6" w:rsidP="002C49E6">
      <w:pPr>
        <w:widowControl w:val="0"/>
        <w:spacing w:after="0" w:line="240" w:lineRule="auto"/>
        <w:jc w:val="both"/>
        <w:rPr>
          <w:rFonts w:ascii="MS Mincho" w:eastAsia="MS Mincho" w:hAnsi="MS Mincho"/>
          <w:snapToGrid w:val="0"/>
          <w:szCs w:val="24"/>
          <w:lang w:val="en-US" w:eastAsia="ja-JP"/>
        </w:rPr>
      </w:pPr>
    </w:p>
    <w:p w:rsidR="002C49E6" w:rsidRPr="002C49E6" w:rsidRDefault="002C49E6" w:rsidP="002C49E6">
      <w:pPr>
        <w:widowControl w:val="0"/>
        <w:spacing w:after="0" w:line="240" w:lineRule="auto"/>
        <w:jc w:val="both"/>
        <w:rPr>
          <w:rFonts w:eastAsia="MS Mincho"/>
          <w:snapToGrid w:val="0"/>
          <w:szCs w:val="24"/>
          <w:lang w:val="en-US" w:eastAsia="ja-JP"/>
        </w:rPr>
      </w:pPr>
      <w:r w:rsidRPr="002C49E6">
        <w:rPr>
          <w:rFonts w:eastAsia="MS Mincho"/>
          <w:snapToGrid w:val="0"/>
          <w:szCs w:val="24"/>
          <w:lang w:val="en-US" w:eastAsia="ja-JP"/>
        </w:rPr>
        <w:t>As mentioned in Section 3.2, the stress</w:t>
      </w:r>
      <w:r w:rsidRPr="002C49E6">
        <w:rPr>
          <w:rFonts w:eastAsia="Times New Roman"/>
          <w:snapToGrid w:val="0"/>
          <w:szCs w:val="24"/>
          <w:lang w:val="en-US" w:eastAsia="en-US"/>
        </w:rPr>
        <w:t>–</w:t>
      </w:r>
      <w:r w:rsidRPr="002C49E6">
        <w:rPr>
          <w:rFonts w:eastAsia="MS Mincho"/>
          <w:snapToGrid w:val="0"/>
          <w:szCs w:val="24"/>
          <w:lang w:val="en-US" w:eastAsia="ja-JP"/>
        </w:rPr>
        <w:t xml:space="preserve">strain hysteresis loops of the </w:t>
      </w:r>
      <w:r w:rsidRPr="002C49E6">
        <w:rPr>
          <w:rFonts w:eastAsia="MS Mincho" w:hint="eastAsia"/>
          <w:snapToGrid w:val="0"/>
          <w:szCs w:val="24"/>
          <w:lang w:val="en-US" w:eastAsia="ja-JP"/>
        </w:rPr>
        <w:t>Fe</w:t>
      </w:r>
      <w:r w:rsidRPr="002C49E6">
        <w:rPr>
          <w:rFonts w:eastAsia="Times New Roman"/>
          <w:snapToGrid w:val="0"/>
          <w:szCs w:val="24"/>
          <w:lang w:val="en-US" w:eastAsia="en-US"/>
        </w:rPr>
        <w:t>–</w:t>
      </w:r>
      <w:r w:rsidRPr="002C49E6">
        <w:rPr>
          <w:rFonts w:eastAsia="MS Mincho" w:hint="eastAsia"/>
          <w:snapToGrid w:val="0"/>
          <w:szCs w:val="24"/>
          <w:lang w:val="en-US" w:eastAsia="ja-JP"/>
        </w:rPr>
        <w:t>15Mn</w:t>
      </w:r>
      <w:r w:rsidRPr="002C49E6">
        <w:rPr>
          <w:rFonts w:eastAsia="Times New Roman"/>
          <w:snapToGrid w:val="0"/>
          <w:szCs w:val="24"/>
          <w:lang w:val="en-US" w:eastAsia="en-US"/>
        </w:rPr>
        <w:t>–</w:t>
      </w:r>
      <w:r w:rsidRPr="002C49E6">
        <w:rPr>
          <w:rFonts w:eastAsia="MS Mincho" w:hint="eastAsia"/>
          <w:snapToGrid w:val="0"/>
          <w:szCs w:val="24"/>
          <w:lang w:val="en-US" w:eastAsia="ja-JP"/>
        </w:rPr>
        <w:t>4Si</w:t>
      </w:r>
      <w:r w:rsidRPr="002C49E6">
        <w:rPr>
          <w:rFonts w:eastAsia="Times New Roman"/>
          <w:snapToGrid w:val="0"/>
          <w:szCs w:val="24"/>
          <w:lang w:val="en-US" w:eastAsia="en-US"/>
        </w:rPr>
        <w:t>–</w:t>
      </w:r>
      <w:r w:rsidRPr="002C49E6">
        <w:rPr>
          <w:rFonts w:eastAsia="MS Mincho" w:hint="eastAsia"/>
          <w:snapToGrid w:val="0"/>
          <w:szCs w:val="24"/>
          <w:lang w:val="en-US" w:eastAsia="ja-JP"/>
        </w:rPr>
        <w:t>10Cr</w:t>
      </w:r>
      <w:r w:rsidRPr="002C49E6">
        <w:rPr>
          <w:rFonts w:eastAsia="Times New Roman"/>
          <w:snapToGrid w:val="0"/>
          <w:szCs w:val="24"/>
          <w:lang w:val="en-US" w:eastAsia="en-US"/>
        </w:rPr>
        <w:t>–</w:t>
      </w:r>
      <w:r w:rsidRPr="002C49E6">
        <w:rPr>
          <w:rFonts w:eastAsia="MS Mincho" w:hint="eastAsia"/>
          <w:snapToGrid w:val="0"/>
          <w:szCs w:val="24"/>
          <w:lang w:val="en-US" w:eastAsia="ja-JP"/>
        </w:rPr>
        <w:t>8Ni</w:t>
      </w:r>
      <w:r w:rsidRPr="002C49E6">
        <w:rPr>
          <w:rFonts w:eastAsia="Times New Roman"/>
          <w:snapToGrid w:val="0"/>
          <w:szCs w:val="24"/>
          <w:lang w:val="en-US" w:eastAsia="en-US"/>
        </w:rPr>
        <w:t xml:space="preserve"> alloy</w:t>
      </w:r>
      <w:r w:rsidRPr="002C49E6">
        <w:rPr>
          <w:rFonts w:eastAsia="MS Mincho"/>
          <w:snapToGrid w:val="0"/>
          <w:szCs w:val="24"/>
          <w:lang w:val="en-US" w:eastAsia="ja-JP"/>
        </w:rPr>
        <w:t xml:space="preserve"> differ in </w:t>
      </w:r>
      <w:r w:rsidRPr="002C49E6">
        <w:rPr>
          <w:rFonts w:eastAsia="MS Mincho"/>
          <w:snapToGrid w:val="0"/>
          <w:szCs w:val="24"/>
          <w:lang w:val="en-US" w:eastAsia="ja-JP"/>
        </w:rPr>
        <w:lastRenderedPageBreak/>
        <w:t xml:space="preserve">shape from those </w:t>
      </w:r>
      <w:r w:rsidRPr="002C49E6">
        <w:rPr>
          <w:rFonts w:eastAsia="Times New Roman"/>
          <w:snapToGrid w:val="0"/>
          <w:szCs w:val="24"/>
          <w:lang w:val="en-US" w:eastAsia="en-US"/>
        </w:rPr>
        <w:t>of the LY225</w:t>
      </w:r>
      <w:r w:rsidRPr="002C49E6">
        <w:rPr>
          <w:rFonts w:eastAsia="MS Mincho"/>
          <w:snapToGrid w:val="0"/>
          <w:szCs w:val="24"/>
          <w:lang w:val="en-US" w:eastAsia="ja-JP"/>
        </w:rPr>
        <w:t xml:space="preserve"> steel. T</w:t>
      </w:r>
      <w:r w:rsidRPr="002C49E6">
        <w:rPr>
          <w:rFonts w:eastAsia="MS Mincho" w:hint="eastAsia"/>
          <w:snapToGrid w:val="0"/>
          <w:szCs w:val="24"/>
          <w:lang w:val="en-US" w:eastAsia="ja-JP"/>
        </w:rPr>
        <w:t>o</w:t>
      </w:r>
      <w:r w:rsidRPr="002C49E6">
        <w:rPr>
          <w:rFonts w:eastAsia="MS Mincho"/>
          <w:snapToGrid w:val="0"/>
          <w:szCs w:val="24"/>
          <w:lang w:val="en-US" w:eastAsia="ja-JP"/>
        </w:rPr>
        <w:t xml:space="preserve"> evaluate the hysteresis loops and the characteristic values of the alloy analytically, we must consider a new appropriate analytical model. Herein, we approximate the </w:t>
      </w:r>
      <w:r w:rsidRPr="002C49E6">
        <w:rPr>
          <w:rFonts w:eastAsia="Times New Roman"/>
          <w:snapToGrid w:val="0"/>
          <w:szCs w:val="24"/>
          <w:lang w:val="en-US" w:eastAsia="ja-JP"/>
        </w:rPr>
        <w:t>hysteresis characteristic of this alloy using the Ramberg</w:t>
      </w:r>
      <w:r w:rsidRPr="002C49E6">
        <w:rPr>
          <w:rFonts w:eastAsia="Times New Roman"/>
          <w:snapToGrid w:val="0"/>
          <w:szCs w:val="24"/>
          <w:lang w:val="en-US" w:eastAsia="en-US"/>
        </w:rPr>
        <w:t>–</w:t>
      </w:r>
      <w:r w:rsidRPr="002C49E6">
        <w:rPr>
          <w:rFonts w:eastAsia="Times New Roman"/>
          <w:snapToGrid w:val="0"/>
          <w:szCs w:val="24"/>
          <w:lang w:val="en-US" w:eastAsia="ja-JP"/>
        </w:rPr>
        <w:t>Osgood (RO) function model (Ramberg and Osgood, 1943).</w:t>
      </w:r>
      <w:r w:rsidRPr="002C49E6">
        <w:rPr>
          <w:rFonts w:ascii="MS Mincho" w:eastAsia="MS Mincho" w:hAnsi="MS Mincho"/>
          <w:snapToGrid w:val="0"/>
          <w:szCs w:val="24"/>
          <w:lang w:val="en-US" w:eastAsia="ja-JP"/>
        </w:rPr>
        <w:t xml:space="preserve"> </w:t>
      </w:r>
      <w:r w:rsidRPr="002C49E6">
        <w:rPr>
          <w:rFonts w:eastAsia="MS Mincho" w:hint="cs"/>
          <w:snapToGrid w:val="0"/>
          <w:szCs w:val="24"/>
          <w:lang w:val="en-US" w:eastAsia="ja-JP"/>
        </w:rPr>
        <w:t>T</w:t>
      </w:r>
      <w:r w:rsidRPr="002C49E6">
        <w:rPr>
          <w:rFonts w:eastAsia="MS Mincho"/>
          <w:snapToGrid w:val="0"/>
          <w:szCs w:val="24"/>
          <w:lang w:val="en-US" w:eastAsia="ja-JP"/>
        </w:rPr>
        <w:t>he RO</w:t>
      </w:r>
      <w:r w:rsidRPr="002C49E6">
        <w:rPr>
          <w:rFonts w:eastAsia="MS Mincho" w:hint="cs"/>
          <w:snapToGrid w:val="0"/>
          <w:szCs w:val="24"/>
          <w:lang w:val="en-US" w:eastAsia="ja-JP"/>
        </w:rPr>
        <w:t xml:space="preserve"> model describes the nonlinear relationship </w:t>
      </w:r>
      <w:r w:rsidRPr="002C49E6">
        <w:rPr>
          <w:rFonts w:eastAsia="MS Mincho"/>
          <w:snapToGrid w:val="0"/>
          <w:szCs w:val="24"/>
          <w:lang w:val="en-US" w:eastAsia="ja-JP"/>
        </w:rPr>
        <w:t>between</w:t>
      </w:r>
      <w:r w:rsidRPr="002C49E6">
        <w:rPr>
          <w:rFonts w:eastAsia="MS Mincho" w:hint="cs"/>
          <w:snapToGrid w:val="0"/>
          <w:szCs w:val="24"/>
          <w:lang w:val="en-US" w:eastAsia="ja-JP"/>
        </w:rPr>
        <w:t xml:space="preserve"> </w:t>
      </w:r>
      <w:r w:rsidRPr="002C49E6">
        <w:rPr>
          <w:rFonts w:eastAsia="MS Mincho"/>
          <w:snapToGrid w:val="0"/>
          <w:szCs w:val="24"/>
          <w:lang w:val="en-US" w:eastAsia="ja-JP"/>
        </w:rPr>
        <w:t>stress and strain and is applied to metals that harden by plastic deformation, thereby exhibiting a smooth elastic</w:t>
      </w:r>
      <w:r w:rsidRPr="002C49E6">
        <w:rPr>
          <w:rFonts w:eastAsia="Times New Roman"/>
          <w:snapToGrid w:val="0"/>
          <w:szCs w:val="24"/>
          <w:lang w:val="en-US" w:eastAsia="en-US"/>
        </w:rPr>
        <w:t>–</w:t>
      </w:r>
      <w:r w:rsidRPr="002C49E6">
        <w:rPr>
          <w:rFonts w:eastAsia="MS Mincho"/>
          <w:snapToGrid w:val="0"/>
          <w:szCs w:val="24"/>
          <w:lang w:val="en-US" w:eastAsia="ja-JP"/>
        </w:rPr>
        <w:t xml:space="preserve">plastic transition. Figure 10 shows the RO model schematically. </w:t>
      </w:r>
    </w:p>
    <w:p w:rsidR="002C49E6" w:rsidRPr="002C49E6" w:rsidRDefault="002C49E6" w:rsidP="002C49E6">
      <w:pPr>
        <w:widowControl w:val="0"/>
        <w:spacing w:after="0" w:line="240" w:lineRule="auto"/>
        <w:jc w:val="both"/>
        <w:rPr>
          <w:rFonts w:ascii="MS Mincho" w:eastAsia="MS Mincho" w:hAnsi="MS Mincho"/>
          <w:snapToGrid w:val="0"/>
          <w:szCs w:val="24"/>
          <w:lang w:val="en-US" w:eastAsia="ja-JP"/>
        </w:rPr>
      </w:pPr>
    </w:p>
    <w:tbl>
      <w:tblPr>
        <w:tblpPr w:leftFromText="142" w:rightFromText="142" w:vertAnchor="text" w:horzAnchor="margin" w:tblpXSpec="center" w:tblpY="123"/>
        <w:tblW w:w="0" w:type="auto"/>
        <w:tblLayout w:type="fixed"/>
        <w:tblLook w:val="0000" w:firstRow="0" w:lastRow="0" w:firstColumn="0" w:lastColumn="0" w:noHBand="0" w:noVBand="0"/>
      </w:tblPr>
      <w:tblGrid>
        <w:gridCol w:w="9356"/>
      </w:tblGrid>
      <w:tr w:rsidR="002C49E6" w:rsidRPr="002C49E6" w:rsidTr="00FF6B28">
        <w:trPr>
          <w:cantSplit/>
          <w:trHeight w:val="2694"/>
        </w:trPr>
        <w:tc>
          <w:tcPr>
            <w:tcW w:w="9356" w:type="dxa"/>
            <w:vAlign w:val="center"/>
          </w:tcPr>
          <w:p w:rsidR="002C49E6" w:rsidRPr="002C49E6" w:rsidRDefault="002C49E6" w:rsidP="002C49E6">
            <w:pPr>
              <w:widowControl w:val="0"/>
              <w:tabs>
                <w:tab w:val="left" w:pos="0"/>
                <w:tab w:val="left" w:pos="720"/>
                <w:tab w:val="left" w:pos="1086"/>
                <w:tab w:val="left" w:pos="1440"/>
              </w:tabs>
              <w:suppressAutoHyphens/>
              <w:spacing w:after="0" w:line="240" w:lineRule="auto"/>
              <w:jc w:val="center"/>
              <w:rPr>
                <w:rFonts w:ascii="MS Mincho" w:eastAsia="MS Mincho" w:hAnsi="MS Mincho"/>
                <w:noProof/>
                <w:snapToGrid w:val="0"/>
                <w:szCs w:val="24"/>
                <w:lang w:val="en-US" w:eastAsia="ja-JP"/>
              </w:rPr>
            </w:pPr>
            <w:r w:rsidRPr="002C49E6">
              <w:rPr>
                <w:rFonts w:eastAsia="Times New Roman"/>
                <w:noProof/>
                <w:snapToGrid w:val="0"/>
                <w:szCs w:val="24"/>
              </w:rPr>
              <w:drawing>
                <wp:inline distT="0" distB="0" distL="0" distR="0" wp14:anchorId="03530579" wp14:editId="2305B3B2">
                  <wp:extent cx="3295002" cy="2409245"/>
                  <wp:effectExtent l="0" t="0" r="1270" b="0"/>
                  <wp:docPr id="19"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99652" cy="2412645"/>
                          </a:xfrm>
                          <a:prstGeom prst="rect">
                            <a:avLst/>
                          </a:prstGeom>
                        </pic:spPr>
                      </pic:pic>
                    </a:graphicData>
                  </a:graphic>
                </wp:inline>
              </w:drawing>
            </w:r>
          </w:p>
        </w:tc>
      </w:tr>
    </w:tbl>
    <w:p w:rsidR="002C49E6" w:rsidRPr="002C49E6" w:rsidRDefault="002C49E6" w:rsidP="002C49E6">
      <w:pPr>
        <w:widowControl w:val="0"/>
        <w:spacing w:after="0" w:line="240" w:lineRule="auto"/>
        <w:jc w:val="center"/>
        <w:rPr>
          <w:rFonts w:eastAsia="Times New Roman"/>
          <w:snapToGrid w:val="0"/>
          <w:szCs w:val="24"/>
          <w:lang w:val="en-US" w:eastAsia="en-US"/>
        </w:rPr>
      </w:pPr>
    </w:p>
    <w:p w:rsidR="002C49E6" w:rsidRPr="002C49E6" w:rsidRDefault="002C49E6" w:rsidP="002C49E6">
      <w:pPr>
        <w:widowControl w:val="0"/>
        <w:spacing w:after="0" w:line="240" w:lineRule="auto"/>
        <w:jc w:val="center"/>
        <w:rPr>
          <w:rFonts w:eastAsia="MS Mincho"/>
          <w:snapToGrid w:val="0"/>
          <w:szCs w:val="24"/>
          <w:lang w:val="en-US" w:eastAsia="ja-JP"/>
        </w:rPr>
      </w:pPr>
      <w:r w:rsidRPr="002C49E6">
        <w:rPr>
          <w:rFonts w:eastAsia="Times New Roman"/>
          <w:snapToGrid w:val="0"/>
          <w:sz w:val="20"/>
          <w:szCs w:val="24"/>
          <w:lang w:val="en-US" w:eastAsia="en-US"/>
        </w:rPr>
        <w:t>Figure 10. Schematic of Ramberg–Osgood (RO) function model</w:t>
      </w:r>
    </w:p>
    <w:p w:rsidR="002C49E6" w:rsidRPr="002C49E6" w:rsidRDefault="002C49E6" w:rsidP="002C49E6">
      <w:pPr>
        <w:widowControl w:val="0"/>
        <w:spacing w:after="0" w:line="240" w:lineRule="auto"/>
        <w:jc w:val="both"/>
        <w:rPr>
          <w:rFonts w:eastAsia="MS Mincho"/>
          <w:snapToGrid w:val="0"/>
          <w:szCs w:val="24"/>
          <w:lang w:val="en-US" w:eastAsia="ja-JP"/>
        </w:rPr>
      </w:pPr>
    </w:p>
    <w:p w:rsidR="002C49E6" w:rsidRPr="002C49E6" w:rsidRDefault="002C49E6" w:rsidP="002C49E6">
      <w:pPr>
        <w:widowControl w:val="0"/>
        <w:spacing w:after="0" w:line="240" w:lineRule="auto"/>
        <w:jc w:val="both"/>
        <w:rPr>
          <w:rFonts w:eastAsia="MS Mincho"/>
          <w:snapToGrid w:val="0"/>
          <w:szCs w:val="24"/>
          <w:lang w:val="en-US" w:eastAsia="ja-JP"/>
        </w:rPr>
      </w:pPr>
      <w:r w:rsidRPr="002C49E6">
        <w:rPr>
          <w:rFonts w:eastAsia="MS Mincho"/>
          <w:snapToGrid w:val="0"/>
          <w:szCs w:val="24"/>
          <w:lang w:val="en-US" w:eastAsia="ja-JP"/>
        </w:rPr>
        <w:t xml:space="preserve">This model comprises a skeleton curve [Equation 1] and a hysteresis curve [Equation 2]. </w:t>
      </w:r>
    </w:p>
    <w:p w:rsidR="002C49E6" w:rsidRPr="002C49E6" w:rsidRDefault="002C49E6" w:rsidP="002C49E6">
      <w:pPr>
        <w:widowControl w:val="0"/>
        <w:spacing w:after="0" w:line="240" w:lineRule="auto"/>
        <w:jc w:val="both"/>
        <w:rPr>
          <w:rFonts w:eastAsia="MS Mincho"/>
          <w:snapToGrid w:val="0"/>
          <w:szCs w:val="24"/>
          <w:lang w:val="en-US" w:eastAsia="ja-JP"/>
        </w:rPr>
      </w:pPr>
    </w:p>
    <w:tbl>
      <w:tblPr>
        <w:tblW w:w="0" w:type="auto"/>
        <w:tblLook w:val="04A0" w:firstRow="1" w:lastRow="0" w:firstColumn="1" w:lastColumn="0" w:noHBand="0" w:noVBand="1"/>
      </w:tblPr>
      <w:tblGrid>
        <w:gridCol w:w="8897"/>
        <w:gridCol w:w="939"/>
      </w:tblGrid>
      <w:tr w:rsidR="002C49E6" w:rsidRPr="002C49E6" w:rsidTr="00FF6B28">
        <w:trPr>
          <w:trHeight w:val="420"/>
        </w:trPr>
        <w:tc>
          <w:tcPr>
            <w:tcW w:w="8897" w:type="dxa"/>
            <w:vAlign w:val="center"/>
          </w:tcPr>
          <w:p w:rsidR="002C49E6" w:rsidRPr="002C49E6" w:rsidRDefault="009E511A" w:rsidP="002C49E6">
            <w:pPr>
              <w:widowControl w:val="0"/>
              <w:tabs>
                <w:tab w:val="left" w:pos="720"/>
                <w:tab w:val="right" w:pos="9360"/>
              </w:tabs>
              <w:suppressAutoHyphens/>
              <w:spacing w:after="0" w:line="240" w:lineRule="auto"/>
              <w:jc w:val="both"/>
              <w:rPr>
                <w:rFonts w:eastAsia="Times New Roman"/>
                <w:snapToGrid w:val="0"/>
                <w:szCs w:val="24"/>
                <w:lang w:val="en-US" w:eastAsia="en-US"/>
              </w:rPr>
            </w:pPr>
            <m:oMathPara>
              <m:oMathParaPr>
                <m:jc m:val="left"/>
              </m:oMathParaPr>
              <m:oMath>
                <m:f>
                  <m:fPr>
                    <m:ctrlPr>
                      <w:rPr>
                        <w:rFonts w:ascii="Cambria Math" w:eastAsia="Times New Roman" w:hAnsi="Cambria Math"/>
                        <w:snapToGrid w:val="0"/>
                        <w:szCs w:val="24"/>
                        <w:lang w:val="en-US" w:eastAsia="en-US"/>
                      </w:rPr>
                    </m:ctrlPr>
                  </m:fPr>
                  <m:num>
                    <m:r>
                      <w:rPr>
                        <w:rFonts w:ascii="Cambria Math" w:eastAsia="Times New Roman" w:hAnsi="Cambria Math"/>
                        <w:snapToGrid w:val="0"/>
                        <w:szCs w:val="24"/>
                        <w:lang w:val="en-US" w:eastAsia="en-US"/>
                      </w:rPr>
                      <m:t>ε</m:t>
                    </m:r>
                  </m:num>
                  <m:den>
                    <m:sSub>
                      <m:sSubPr>
                        <m:ctrlPr>
                          <w:rPr>
                            <w:rFonts w:ascii="Cambria Math" w:eastAsia="Times New Roman" w:hAnsi="Cambria Math"/>
                            <w:i/>
                            <w:snapToGrid w:val="0"/>
                            <w:szCs w:val="24"/>
                            <w:lang w:val="en-US" w:eastAsia="en-US"/>
                          </w:rPr>
                        </m:ctrlPr>
                      </m:sSubPr>
                      <m:e>
                        <m:acc>
                          <m:accPr>
                            <m:chr m:val="̅"/>
                            <m:ctrlPr>
                              <w:rPr>
                                <w:rFonts w:ascii="Cambria Math" w:eastAsia="Times New Roman" w:hAnsi="Cambria Math"/>
                                <w:i/>
                                <w:snapToGrid w:val="0"/>
                                <w:szCs w:val="24"/>
                                <w:lang w:val="en-US" w:eastAsia="en-US"/>
                              </w:rPr>
                            </m:ctrlPr>
                          </m:accPr>
                          <m:e>
                            <m:r>
                              <w:rPr>
                                <w:rFonts w:ascii="Cambria Math" w:eastAsia="Times New Roman" w:hAnsi="Cambria Math"/>
                                <w:snapToGrid w:val="0"/>
                                <w:szCs w:val="24"/>
                                <w:lang w:val="en-US" w:eastAsia="en-US"/>
                              </w:rPr>
                              <m:t>ε</m:t>
                            </m:r>
                          </m:e>
                        </m:acc>
                      </m:e>
                      <m:sub>
                        <m:r>
                          <w:rPr>
                            <w:rFonts w:ascii="Cambria Math" w:eastAsia="Times New Roman" w:hAnsi="Cambria Math"/>
                            <w:snapToGrid w:val="0"/>
                            <w:szCs w:val="24"/>
                            <w:lang w:val="en-US" w:eastAsia="en-US"/>
                          </w:rPr>
                          <m:t>0</m:t>
                        </m:r>
                      </m:sub>
                    </m:sSub>
                  </m:den>
                </m:f>
                <m:r>
                  <w:rPr>
                    <w:rFonts w:ascii="Cambria Math" w:eastAsia="Times New Roman" w:hAnsi="Cambria Math"/>
                    <w:snapToGrid w:val="0"/>
                    <w:szCs w:val="24"/>
                    <w:lang w:val="en-US" w:eastAsia="en-US"/>
                  </w:rPr>
                  <m:t>=</m:t>
                </m:r>
                <m:f>
                  <m:fPr>
                    <m:ctrlPr>
                      <w:rPr>
                        <w:rFonts w:ascii="Cambria Math" w:eastAsia="Times New Roman" w:hAnsi="Cambria Math"/>
                        <w:i/>
                        <w:snapToGrid w:val="0"/>
                        <w:szCs w:val="24"/>
                        <w:lang w:val="en-US" w:eastAsia="en-US"/>
                      </w:rPr>
                    </m:ctrlPr>
                  </m:fPr>
                  <m:num>
                    <m:r>
                      <w:rPr>
                        <w:rFonts w:ascii="Cambria Math" w:eastAsia="Times New Roman" w:hAnsi="Cambria Math"/>
                        <w:snapToGrid w:val="0"/>
                        <w:szCs w:val="24"/>
                        <w:lang w:val="en-US" w:eastAsia="en-US"/>
                      </w:rPr>
                      <m:t>σ</m:t>
                    </m:r>
                  </m:num>
                  <m:den>
                    <m:sSub>
                      <m:sSubPr>
                        <m:ctrlPr>
                          <w:rPr>
                            <w:rFonts w:ascii="Cambria Math" w:eastAsia="Times New Roman" w:hAnsi="Cambria Math"/>
                            <w:i/>
                            <w:snapToGrid w:val="0"/>
                            <w:szCs w:val="24"/>
                            <w:lang w:val="en-US" w:eastAsia="en-US"/>
                          </w:rPr>
                        </m:ctrlPr>
                      </m:sSubPr>
                      <m:e>
                        <m:acc>
                          <m:accPr>
                            <m:chr m:val="̅"/>
                            <m:ctrlPr>
                              <w:rPr>
                                <w:rFonts w:ascii="Cambria Math" w:eastAsia="Times New Roman" w:hAnsi="Cambria Math"/>
                                <w:i/>
                                <w:snapToGrid w:val="0"/>
                                <w:szCs w:val="24"/>
                                <w:lang w:val="en-US" w:eastAsia="en-US"/>
                              </w:rPr>
                            </m:ctrlPr>
                          </m:accPr>
                          <m:e>
                            <m:r>
                              <w:rPr>
                                <w:rFonts w:ascii="Cambria Math" w:eastAsia="Times New Roman" w:hAnsi="Cambria Math"/>
                                <w:snapToGrid w:val="0"/>
                                <w:szCs w:val="24"/>
                                <w:lang w:val="en-US" w:eastAsia="en-US"/>
                              </w:rPr>
                              <m:t>σ</m:t>
                            </m:r>
                          </m:e>
                        </m:acc>
                      </m:e>
                      <m:sub>
                        <m:r>
                          <w:rPr>
                            <w:rFonts w:ascii="Cambria Math" w:eastAsia="Times New Roman" w:hAnsi="Cambria Math"/>
                            <w:snapToGrid w:val="0"/>
                            <w:szCs w:val="24"/>
                            <w:lang w:val="en-US" w:eastAsia="en-US"/>
                          </w:rPr>
                          <m:t>0</m:t>
                        </m:r>
                      </m:sub>
                    </m:sSub>
                  </m:den>
                </m:f>
                <m:d>
                  <m:dPr>
                    <m:ctrlPr>
                      <w:rPr>
                        <w:rFonts w:ascii="Cambria Math" w:eastAsia="Times New Roman" w:hAnsi="Cambria Math"/>
                        <w:i/>
                        <w:snapToGrid w:val="0"/>
                        <w:szCs w:val="24"/>
                        <w:lang w:val="en-US" w:eastAsia="en-US"/>
                      </w:rPr>
                    </m:ctrlPr>
                  </m:dPr>
                  <m:e>
                    <m:r>
                      <w:rPr>
                        <w:rFonts w:ascii="Cambria Math" w:eastAsia="Times New Roman" w:hAnsi="Cambria Math"/>
                        <w:snapToGrid w:val="0"/>
                        <w:szCs w:val="24"/>
                        <w:lang w:val="en-US" w:eastAsia="en-US"/>
                      </w:rPr>
                      <m:t>1+α∙</m:t>
                    </m:r>
                    <m:sSup>
                      <m:sSupPr>
                        <m:ctrlPr>
                          <w:rPr>
                            <w:rFonts w:ascii="Cambria Math" w:eastAsia="Times New Roman" w:hAnsi="Cambria Math"/>
                            <w:i/>
                            <w:snapToGrid w:val="0"/>
                            <w:szCs w:val="24"/>
                            <w:lang w:val="en-US" w:eastAsia="en-US"/>
                          </w:rPr>
                        </m:ctrlPr>
                      </m:sSupPr>
                      <m:e>
                        <m:d>
                          <m:dPr>
                            <m:begChr m:val="|"/>
                            <m:endChr m:val="|"/>
                            <m:ctrlPr>
                              <w:rPr>
                                <w:rFonts w:ascii="Cambria Math" w:eastAsia="Times New Roman" w:hAnsi="Cambria Math"/>
                                <w:i/>
                                <w:snapToGrid w:val="0"/>
                                <w:szCs w:val="24"/>
                                <w:lang w:val="en-US" w:eastAsia="en-US"/>
                              </w:rPr>
                            </m:ctrlPr>
                          </m:dPr>
                          <m:e>
                            <m:f>
                              <m:fPr>
                                <m:ctrlPr>
                                  <w:rPr>
                                    <w:rFonts w:ascii="Cambria Math" w:eastAsia="Times New Roman" w:hAnsi="Cambria Math"/>
                                    <w:i/>
                                    <w:snapToGrid w:val="0"/>
                                    <w:szCs w:val="24"/>
                                    <w:lang w:val="en-US" w:eastAsia="en-US"/>
                                  </w:rPr>
                                </m:ctrlPr>
                              </m:fPr>
                              <m:num>
                                <m:r>
                                  <w:rPr>
                                    <w:rFonts w:ascii="Cambria Math" w:eastAsia="Times New Roman" w:hAnsi="Cambria Math"/>
                                    <w:snapToGrid w:val="0"/>
                                    <w:szCs w:val="24"/>
                                    <w:lang w:val="en-US" w:eastAsia="en-US"/>
                                  </w:rPr>
                                  <m:t>σ</m:t>
                                </m:r>
                              </m:num>
                              <m:den>
                                <m:sSub>
                                  <m:sSubPr>
                                    <m:ctrlPr>
                                      <w:rPr>
                                        <w:rFonts w:ascii="Cambria Math" w:eastAsia="Times New Roman" w:hAnsi="Cambria Math"/>
                                        <w:i/>
                                        <w:snapToGrid w:val="0"/>
                                        <w:szCs w:val="24"/>
                                        <w:lang w:val="en-US" w:eastAsia="en-US"/>
                                      </w:rPr>
                                    </m:ctrlPr>
                                  </m:sSubPr>
                                  <m:e>
                                    <m:acc>
                                      <m:accPr>
                                        <m:chr m:val="̅"/>
                                        <m:ctrlPr>
                                          <w:rPr>
                                            <w:rFonts w:ascii="Cambria Math" w:eastAsia="Times New Roman" w:hAnsi="Cambria Math"/>
                                            <w:i/>
                                            <w:snapToGrid w:val="0"/>
                                            <w:szCs w:val="24"/>
                                            <w:lang w:val="en-US" w:eastAsia="en-US"/>
                                          </w:rPr>
                                        </m:ctrlPr>
                                      </m:accPr>
                                      <m:e>
                                        <m:r>
                                          <w:rPr>
                                            <w:rFonts w:ascii="Cambria Math" w:eastAsia="Times New Roman" w:hAnsi="Cambria Math"/>
                                            <w:snapToGrid w:val="0"/>
                                            <w:szCs w:val="24"/>
                                            <w:lang w:val="en-US" w:eastAsia="en-US"/>
                                          </w:rPr>
                                          <m:t>σ</m:t>
                                        </m:r>
                                      </m:e>
                                    </m:acc>
                                  </m:e>
                                  <m:sub>
                                    <m:r>
                                      <w:rPr>
                                        <w:rFonts w:ascii="Cambria Math" w:eastAsia="Times New Roman" w:hAnsi="Cambria Math"/>
                                        <w:snapToGrid w:val="0"/>
                                        <w:szCs w:val="24"/>
                                        <w:lang w:val="en-US" w:eastAsia="en-US"/>
                                      </w:rPr>
                                      <m:t>0</m:t>
                                    </m:r>
                                  </m:sub>
                                </m:sSub>
                              </m:den>
                            </m:f>
                          </m:e>
                        </m:d>
                      </m:e>
                      <m:sup>
                        <m:r>
                          <w:rPr>
                            <w:rFonts w:ascii="Cambria Math" w:eastAsia="Times New Roman" w:hAnsi="Cambria Math"/>
                            <w:snapToGrid w:val="0"/>
                            <w:szCs w:val="24"/>
                            <w:lang w:val="en-US" w:eastAsia="en-US"/>
                          </w:rPr>
                          <m:t>η-1</m:t>
                        </m:r>
                      </m:sup>
                    </m:sSup>
                  </m:e>
                </m:d>
              </m:oMath>
            </m:oMathPara>
          </w:p>
        </w:tc>
        <w:tc>
          <w:tcPr>
            <w:tcW w:w="939" w:type="dxa"/>
            <w:vAlign w:val="center"/>
          </w:tcPr>
          <w:p w:rsidR="002C49E6" w:rsidRPr="002C49E6" w:rsidRDefault="002C49E6" w:rsidP="002C49E6">
            <w:pPr>
              <w:widowControl w:val="0"/>
              <w:tabs>
                <w:tab w:val="left" w:pos="720"/>
                <w:tab w:val="right" w:pos="9360"/>
              </w:tabs>
              <w:suppressAutoHyphens/>
              <w:spacing w:after="0" w:line="240" w:lineRule="auto"/>
              <w:jc w:val="center"/>
              <w:rPr>
                <w:rFonts w:eastAsia="Times New Roman"/>
                <w:snapToGrid w:val="0"/>
                <w:szCs w:val="24"/>
                <w:lang w:val="en-US" w:eastAsia="en-US"/>
              </w:rPr>
            </w:pPr>
            <w:r w:rsidRPr="002C49E6">
              <w:rPr>
                <w:rFonts w:eastAsia="Times New Roman"/>
                <w:snapToGrid w:val="0"/>
                <w:szCs w:val="24"/>
                <w:lang w:val="en-US" w:eastAsia="en-US"/>
              </w:rPr>
              <w:t>(1)</w:t>
            </w:r>
          </w:p>
        </w:tc>
      </w:tr>
    </w:tbl>
    <w:p w:rsidR="002C49E6" w:rsidRPr="002C49E6" w:rsidRDefault="002C49E6" w:rsidP="002C49E6">
      <w:pPr>
        <w:widowControl w:val="0"/>
        <w:tabs>
          <w:tab w:val="left" w:pos="720"/>
          <w:tab w:val="right" w:pos="9360"/>
        </w:tabs>
        <w:suppressAutoHyphens/>
        <w:spacing w:after="0" w:line="240" w:lineRule="auto"/>
        <w:jc w:val="both"/>
        <w:rPr>
          <w:rFonts w:eastAsia="Times New Roman"/>
          <w:snapToGrid w:val="0"/>
          <w:szCs w:val="24"/>
          <w:lang w:val="en-US" w:eastAsia="en-US"/>
        </w:rPr>
      </w:pPr>
    </w:p>
    <w:tbl>
      <w:tblPr>
        <w:tblW w:w="0" w:type="auto"/>
        <w:tblLook w:val="04A0" w:firstRow="1" w:lastRow="0" w:firstColumn="1" w:lastColumn="0" w:noHBand="0" w:noVBand="1"/>
      </w:tblPr>
      <w:tblGrid>
        <w:gridCol w:w="8897"/>
        <w:gridCol w:w="939"/>
      </w:tblGrid>
      <w:tr w:rsidR="002C49E6" w:rsidRPr="002C49E6" w:rsidTr="00FF6B28">
        <w:tc>
          <w:tcPr>
            <w:tcW w:w="8897" w:type="dxa"/>
            <w:vAlign w:val="center"/>
          </w:tcPr>
          <w:p w:rsidR="002C49E6" w:rsidRPr="002C49E6" w:rsidRDefault="009E511A" w:rsidP="002C49E6">
            <w:pPr>
              <w:widowControl w:val="0"/>
              <w:tabs>
                <w:tab w:val="left" w:pos="720"/>
                <w:tab w:val="right" w:pos="9360"/>
              </w:tabs>
              <w:suppressAutoHyphens/>
              <w:spacing w:after="0" w:line="240" w:lineRule="auto"/>
              <w:jc w:val="center"/>
              <w:rPr>
                <w:rFonts w:eastAsia="Times New Roman"/>
                <w:snapToGrid w:val="0"/>
                <w:szCs w:val="24"/>
                <w:lang w:val="en-US" w:eastAsia="en-US"/>
              </w:rPr>
            </w:pPr>
            <m:oMathPara>
              <m:oMathParaPr>
                <m:jc m:val="left"/>
              </m:oMathParaPr>
              <m:oMath>
                <m:f>
                  <m:fPr>
                    <m:ctrlPr>
                      <w:rPr>
                        <w:rFonts w:ascii="Cambria Math" w:eastAsia="Times New Roman" w:hAnsi="Cambria Math"/>
                        <w:snapToGrid w:val="0"/>
                        <w:szCs w:val="24"/>
                        <w:lang w:val="en-US" w:eastAsia="en-US"/>
                      </w:rPr>
                    </m:ctrlPr>
                  </m:fPr>
                  <m:num>
                    <m:r>
                      <w:rPr>
                        <w:rFonts w:ascii="Cambria Math" w:eastAsia="Times New Roman" w:hAnsi="Cambria Math"/>
                        <w:snapToGrid w:val="0"/>
                        <w:szCs w:val="24"/>
                        <w:lang w:val="en-US" w:eastAsia="en-US"/>
                      </w:rPr>
                      <m:t>ε-</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ε</m:t>
                        </m:r>
                      </m:e>
                      <m:sub>
                        <m:r>
                          <w:rPr>
                            <w:rFonts w:ascii="Cambria Math" w:eastAsia="Times New Roman" w:hAnsi="Cambria Math"/>
                            <w:snapToGrid w:val="0"/>
                            <w:szCs w:val="24"/>
                            <w:lang w:val="en-US" w:eastAsia="en-US"/>
                          </w:rPr>
                          <m:t>0</m:t>
                        </m:r>
                      </m:sub>
                    </m:sSub>
                  </m:num>
                  <m:den>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2</m:t>
                        </m:r>
                        <m:acc>
                          <m:accPr>
                            <m:chr m:val="̅"/>
                            <m:ctrlPr>
                              <w:rPr>
                                <w:rFonts w:ascii="Cambria Math" w:eastAsia="Times New Roman" w:hAnsi="Cambria Math"/>
                                <w:i/>
                                <w:snapToGrid w:val="0"/>
                                <w:szCs w:val="24"/>
                                <w:lang w:val="en-US" w:eastAsia="en-US"/>
                              </w:rPr>
                            </m:ctrlPr>
                          </m:accPr>
                          <m:e>
                            <m:r>
                              <w:rPr>
                                <w:rFonts w:ascii="Cambria Math" w:eastAsia="Times New Roman" w:hAnsi="Cambria Math"/>
                                <w:snapToGrid w:val="0"/>
                                <w:szCs w:val="24"/>
                                <w:lang w:val="en-US" w:eastAsia="en-US"/>
                              </w:rPr>
                              <m:t>ε</m:t>
                            </m:r>
                          </m:e>
                        </m:acc>
                      </m:e>
                      <m:sub>
                        <m:r>
                          <w:rPr>
                            <w:rFonts w:ascii="Cambria Math" w:eastAsia="Times New Roman" w:hAnsi="Cambria Math"/>
                            <w:snapToGrid w:val="0"/>
                            <w:szCs w:val="24"/>
                            <w:lang w:val="en-US" w:eastAsia="en-US"/>
                          </w:rPr>
                          <m:t>0</m:t>
                        </m:r>
                      </m:sub>
                    </m:sSub>
                  </m:den>
                </m:f>
                <m:r>
                  <w:rPr>
                    <w:rFonts w:ascii="Cambria Math" w:eastAsia="Times New Roman" w:hAnsi="Cambria Math"/>
                    <w:snapToGrid w:val="0"/>
                    <w:szCs w:val="24"/>
                    <w:lang w:val="en-US" w:eastAsia="en-US"/>
                  </w:rPr>
                  <m:t>=</m:t>
                </m:r>
                <m:f>
                  <m:fPr>
                    <m:ctrlPr>
                      <w:rPr>
                        <w:rFonts w:ascii="Cambria Math" w:eastAsia="Times New Roman" w:hAnsi="Cambria Math"/>
                        <w:i/>
                        <w:snapToGrid w:val="0"/>
                        <w:szCs w:val="24"/>
                        <w:lang w:val="en-US" w:eastAsia="en-US"/>
                      </w:rPr>
                    </m:ctrlPr>
                  </m:fPr>
                  <m:num>
                    <m:r>
                      <w:rPr>
                        <w:rFonts w:ascii="Cambria Math" w:eastAsia="Times New Roman" w:hAnsi="Cambria Math"/>
                        <w:snapToGrid w:val="0"/>
                        <w:szCs w:val="24"/>
                        <w:lang w:val="en-US" w:eastAsia="en-US"/>
                      </w:rPr>
                      <m:t>σ-</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σ</m:t>
                        </m:r>
                      </m:e>
                      <m:sub>
                        <m:r>
                          <w:rPr>
                            <w:rFonts w:ascii="Cambria Math" w:eastAsia="Times New Roman" w:hAnsi="Cambria Math"/>
                            <w:snapToGrid w:val="0"/>
                            <w:szCs w:val="24"/>
                            <w:lang w:val="en-US" w:eastAsia="en-US"/>
                          </w:rPr>
                          <m:t>0</m:t>
                        </m:r>
                      </m:sub>
                    </m:sSub>
                  </m:num>
                  <m:den>
                    <m:sSub>
                      <m:sSubPr>
                        <m:ctrlPr>
                          <w:rPr>
                            <w:rFonts w:ascii="Cambria Math" w:eastAsia="Times New Roman" w:hAnsi="Cambria Math"/>
                            <w:i/>
                            <w:snapToGrid w:val="0"/>
                            <w:szCs w:val="24"/>
                            <w:lang w:val="en-US" w:eastAsia="en-US"/>
                          </w:rPr>
                        </m:ctrlPr>
                      </m:sSubPr>
                      <m:e>
                        <m:acc>
                          <m:accPr>
                            <m:chr m:val="̅"/>
                            <m:ctrlPr>
                              <w:rPr>
                                <w:rFonts w:ascii="Cambria Math" w:eastAsia="Times New Roman" w:hAnsi="Cambria Math"/>
                                <w:i/>
                                <w:snapToGrid w:val="0"/>
                                <w:szCs w:val="24"/>
                                <w:lang w:val="en-US" w:eastAsia="en-US"/>
                              </w:rPr>
                            </m:ctrlPr>
                          </m:accPr>
                          <m:e>
                            <m:r>
                              <w:rPr>
                                <w:rFonts w:ascii="Cambria Math" w:eastAsia="Times New Roman" w:hAnsi="Cambria Math"/>
                                <w:snapToGrid w:val="0"/>
                                <w:szCs w:val="24"/>
                                <w:lang w:val="en-US" w:eastAsia="en-US"/>
                              </w:rPr>
                              <m:t>2σ</m:t>
                            </m:r>
                          </m:e>
                        </m:acc>
                      </m:e>
                      <m:sub>
                        <m:r>
                          <w:rPr>
                            <w:rFonts w:ascii="Cambria Math" w:eastAsia="Times New Roman" w:hAnsi="Cambria Math"/>
                            <w:snapToGrid w:val="0"/>
                            <w:szCs w:val="24"/>
                            <w:lang w:val="en-US" w:eastAsia="en-US"/>
                          </w:rPr>
                          <m:t>0</m:t>
                        </m:r>
                      </m:sub>
                    </m:sSub>
                  </m:den>
                </m:f>
                <m:d>
                  <m:dPr>
                    <m:ctrlPr>
                      <w:rPr>
                        <w:rFonts w:ascii="Cambria Math" w:eastAsia="Times New Roman" w:hAnsi="Cambria Math"/>
                        <w:i/>
                        <w:snapToGrid w:val="0"/>
                        <w:szCs w:val="24"/>
                        <w:lang w:val="en-US" w:eastAsia="en-US"/>
                      </w:rPr>
                    </m:ctrlPr>
                  </m:dPr>
                  <m:e>
                    <m:r>
                      <w:rPr>
                        <w:rFonts w:ascii="Cambria Math" w:eastAsia="Times New Roman" w:hAnsi="Cambria Math"/>
                        <w:snapToGrid w:val="0"/>
                        <w:szCs w:val="24"/>
                        <w:lang w:val="en-US" w:eastAsia="en-US"/>
                      </w:rPr>
                      <m:t>1+α∙</m:t>
                    </m:r>
                    <m:sSup>
                      <m:sSupPr>
                        <m:ctrlPr>
                          <w:rPr>
                            <w:rFonts w:ascii="Cambria Math" w:eastAsia="Times New Roman" w:hAnsi="Cambria Math"/>
                            <w:i/>
                            <w:snapToGrid w:val="0"/>
                            <w:szCs w:val="24"/>
                            <w:lang w:val="en-US" w:eastAsia="en-US"/>
                          </w:rPr>
                        </m:ctrlPr>
                      </m:sSupPr>
                      <m:e>
                        <m:d>
                          <m:dPr>
                            <m:begChr m:val="|"/>
                            <m:endChr m:val="|"/>
                            <m:ctrlPr>
                              <w:rPr>
                                <w:rFonts w:ascii="Cambria Math" w:eastAsia="Times New Roman" w:hAnsi="Cambria Math"/>
                                <w:i/>
                                <w:snapToGrid w:val="0"/>
                                <w:szCs w:val="24"/>
                                <w:lang w:val="en-US" w:eastAsia="en-US"/>
                              </w:rPr>
                            </m:ctrlPr>
                          </m:dPr>
                          <m:e>
                            <m:f>
                              <m:fPr>
                                <m:ctrlPr>
                                  <w:rPr>
                                    <w:rFonts w:ascii="Cambria Math" w:eastAsia="Times New Roman" w:hAnsi="Cambria Math"/>
                                    <w:i/>
                                    <w:snapToGrid w:val="0"/>
                                    <w:szCs w:val="24"/>
                                    <w:lang w:val="en-US" w:eastAsia="en-US"/>
                                  </w:rPr>
                                </m:ctrlPr>
                              </m:fPr>
                              <m:num>
                                <m:r>
                                  <w:rPr>
                                    <w:rFonts w:ascii="Cambria Math" w:eastAsia="Times New Roman" w:hAnsi="Cambria Math"/>
                                    <w:snapToGrid w:val="0"/>
                                    <w:szCs w:val="24"/>
                                    <w:lang w:val="en-US" w:eastAsia="en-US"/>
                                  </w:rPr>
                                  <m:t>σ-</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σ</m:t>
                                    </m:r>
                                  </m:e>
                                  <m:sub>
                                    <m:r>
                                      <w:rPr>
                                        <w:rFonts w:ascii="Cambria Math" w:eastAsia="Times New Roman" w:hAnsi="Cambria Math"/>
                                        <w:snapToGrid w:val="0"/>
                                        <w:szCs w:val="24"/>
                                        <w:lang w:val="en-US" w:eastAsia="en-US"/>
                                      </w:rPr>
                                      <m:t>0</m:t>
                                    </m:r>
                                  </m:sub>
                                </m:sSub>
                              </m:num>
                              <m:den>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2</m:t>
                                    </m:r>
                                    <m:acc>
                                      <m:accPr>
                                        <m:chr m:val="̅"/>
                                        <m:ctrlPr>
                                          <w:rPr>
                                            <w:rFonts w:ascii="Cambria Math" w:eastAsia="Times New Roman" w:hAnsi="Cambria Math"/>
                                            <w:i/>
                                            <w:snapToGrid w:val="0"/>
                                            <w:szCs w:val="24"/>
                                            <w:lang w:val="en-US" w:eastAsia="en-US"/>
                                          </w:rPr>
                                        </m:ctrlPr>
                                      </m:accPr>
                                      <m:e>
                                        <m:r>
                                          <w:rPr>
                                            <w:rFonts w:ascii="Cambria Math" w:eastAsia="Times New Roman" w:hAnsi="Cambria Math"/>
                                            <w:snapToGrid w:val="0"/>
                                            <w:szCs w:val="24"/>
                                            <w:lang w:val="en-US" w:eastAsia="en-US"/>
                                          </w:rPr>
                                          <m:t>σ</m:t>
                                        </m:r>
                                      </m:e>
                                    </m:acc>
                                  </m:e>
                                  <m:sub>
                                    <m:r>
                                      <w:rPr>
                                        <w:rFonts w:ascii="Cambria Math" w:eastAsia="Times New Roman" w:hAnsi="Cambria Math"/>
                                        <w:snapToGrid w:val="0"/>
                                        <w:szCs w:val="24"/>
                                        <w:lang w:val="en-US" w:eastAsia="en-US"/>
                                      </w:rPr>
                                      <m:t>0</m:t>
                                    </m:r>
                                  </m:sub>
                                </m:sSub>
                              </m:den>
                            </m:f>
                          </m:e>
                        </m:d>
                      </m:e>
                      <m:sup>
                        <m:r>
                          <w:rPr>
                            <w:rFonts w:ascii="Cambria Math" w:eastAsia="Times New Roman" w:hAnsi="Cambria Math"/>
                            <w:snapToGrid w:val="0"/>
                            <w:szCs w:val="24"/>
                            <w:lang w:val="en-US" w:eastAsia="en-US"/>
                          </w:rPr>
                          <m:t>η-1</m:t>
                        </m:r>
                      </m:sup>
                    </m:sSup>
                  </m:e>
                </m:d>
              </m:oMath>
            </m:oMathPara>
          </w:p>
        </w:tc>
        <w:tc>
          <w:tcPr>
            <w:tcW w:w="939" w:type="dxa"/>
            <w:vAlign w:val="center"/>
          </w:tcPr>
          <w:p w:rsidR="002C49E6" w:rsidRPr="002C49E6" w:rsidRDefault="002C49E6" w:rsidP="002C49E6">
            <w:pPr>
              <w:widowControl w:val="0"/>
              <w:tabs>
                <w:tab w:val="left" w:pos="720"/>
                <w:tab w:val="right" w:pos="9360"/>
              </w:tabs>
              <w:suppressAutoHyphens/>
              <w:spacing w:after="0" w:line="240" w:lineRule="auto"/>
              <w:jc w:val="center"/>
              <w:rPr>
                <w:rFonts w:eastAsia="Times New Roman"/>
                <w:snapToGrid w:val="0"/>
                <w:szCs w:val="24"/>
                <w:lang w:val="en-US" w:eastAsia="en-US"/>
              </w:rPr>
            </w:pPr>
            <w:r w:rsidRPr="002C49E6">
              <w:rPr>
                <w:rFonts w:eastAsia="Times New Roman"/>
                <w:snapToGrid w:val="0"/>
                <w:szCs w:val="24"/>
                <w:lang w:val="en-US" w:eastAsia="en-US"/>
              </w:rPr>
              <w:t>(2)</w:t>
            </w:r>
          </w:p>
        </w:tc>
      </w:tr>
    </w:tbl>
    <w:p w:rsidR="002C49E6" w:rsidRPr="002C49E6" w:rsidRDefault="002C49E6" w:rsidP="002C49E6">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2C49E6" w:rsidRPr="002C49E6" w:rsidRDefault="002C49E6" w:rsidP="002C49E6">
      <w:pPr>
        <w:widowControl w:val="0"/>
        <w:spacing w:after="0" w:line="240" w:lineRule="auto"/>
        <w:jc w:val="both"/>
        <w:rPr>
          <w:rFonts w:eastAsia="MS Mincho"/>
          <w:snapToGrid w:val="0"/>
          <w:szCs w:val="24"/>
          <w:lang w:val="en-US" w:eastAsia="ja-JP"/>
        </w:rPr>
      </w:pPr>
      <w:r w:rsidRPr="002C49E6">
        <w:rPr>
          <w:rFonts w:eastAsia="MS Mincho" w:hint="eastAsia"/>
          <w:snapToGrid w:val="0"/>
          <w:szCs w:val="24"/>
          <w:lang w:val="en-US" w:eastAsia="ja-JP"/>
        </w:rPr>
        <w:t>where</w:t>
      </w:r>
      <w:r w:rsidRPr="002C49E6">
        <w:rPr>
          <w:rFonts w:eastAsia="MS Mincho"/>
          <w:snapToGrid w:val="0"/>
          <w:szCs w:val="24"/>
          <w:lang w:val="en-US" w:eastAsia="ja-JP"/>
        </w:rPr>
        <w:t xml:space="preserve"> </w:t>
      </w:r>
      <w:r w:rsidRPr="002C49E6">
        <w:rPr>
          <w:rFonts w:eastAsia="MS Mincho" w:hint="eastAsia"/>
          <w:snapToGrid w:val="0"/>
          <w:szCs w:val="24"/>
          <w:lang w:val="en-US" w:eastAsia="ja-JP"/>
        </w:rPr>
        <w:t xml:space="preserve"> </w:t>
      </w:r>
      <m:oMath>
        <m:sSub>
          <m:sSubPr>
            <m:ctrlPr>
              <w:rPr>
                <w:rFonts w:ascii="Cambria Math" w:eastAsia="Times New Roman" w:hAnsi="Cambria Math"/>
                <w:i/>
                <w:snapToGrid w:val="0"/>
                <w:szCs w:val="24"/>
                <w:lang w:val="en-US" w:eastAsia="en-US"/>
              </w:rPr>
            </m:ctrlPr>
          </m:sSubPr>
          <m:e>
            <m:acc>
              <m:accPr>
                <m:chr m:val="̅"/>
                <m:ctrlPr>
                  <w:rPr>
                    <w:rFonts w:ascii="Cambria Math" w:eastAsia="Times New Roman" w:hAnsi="Cambria Math"/>
                    <w:i/>
                    <w:snapToGrid w:val="0"/>
                    <w:szCs w:val="24"/>
                    <w:lang w:val="en-US" w:eastAsia="en-US"/>
                  </w:rPr>
                </m:ctrlPr>
              </m:accPr>
              <m:e>
                <m:r>
                  <w:rPr>
                    <w:rFonts w:ascii="Cambria Math" w:eastAsia="Times New Roman" w:hAnsi="Cambria Math"/>
                    <w:snapToGrid w:val="0"/>
                    <w:szCs w:val="24"/>
                    <w:lang w:val="en-US" w:eastAsia="en-US"/>
                  </w:rPr>
                  <m:t>σ</m:t>
                </m:r>
              </m:e>
            </m:acc>
          </m:e>
          <m:sub>
            <m:r>
              <w:rPr>
                <w:rFonts w:ascii="Cambria Math" w:eastAsia="Times New Roman" w:hAnsi="Cambria Math"/>
                <w:snapToGrid w:val="0"/>
                <w:szCs w:val="24"/>
                <w:lang w:val="en-US" w:eastAsia="en-US"/>
              </w:rPr>
              <m:t>0</m:t>
            </m:r>
          </m:sub>
        </m:sSub>
        <m:r>
          <w:rPr>
            <w:rFonts w:ascii="Cambria Math" w:eastAsia="Times New Roman" w:hAnsi="Cambria Math"/>
            <w:snapToGrid w:val="0"/>
            <w:szCs w:val="24"/>
            <w:lang w:val="en-US" w:eastAsia="en-US"/>
          </w:rPr>
          <m:t>=E∙</m:t>
        </m:r>
        <m:sSub>
          <m:sSubPr>
            <m:ctrlPr>
              <w:rPr>
                <w:rFonts w:ascii="Cambria Math" w:eastAsia="Times New Roman" w:hAnsi="Cambria Math"/>
                <w:i/>
                <w:snapToGrid w:val="0"/>
                <w:szCs w:val="24"/>
                <w:lang w:val="en-US" w:eastAsia="en-US"/>
              </w:rPr>
            </m:ctrlPr>
          </m:sSubPr>
          <m:e>
            <m:acc>
              <m:accPr>
                <m:chr m:val="̅"/>
                <m:ctrlPr>
                  <w:rPr>
                    <w:rFonts w:ascii="Cambria Math" w:eastAsia="Times New Roman" w:hAnsi="Cambria Math"/>
                    <w:i/>
                    <w:snapToGrid w:val="0"/>
                    <w:szCs w:val="24"/>
                    <w:lang w:val="en-US" w:eastAsia="en-US"/>
                  </w:rPr>
                </m:ctrlPr>
              </m:accPr>
              <m:e>
                <m:r>
                  <w:rPr>
                    <w:rFonts w:ascii="Cambria Math" w:eastAsia="Times New Roman" w:hAnsi="Cambria Math"/>
                    <w:snapToGrid w:val="0"/>
                    <w:szCs w:val="24"/>
                    <w:lang w:val="en-US" w:eastAsia="en-US"/>
                  </w:rPr>
                  <m:t>ε</m:t>
                </m:r>
              </m:e>
            </m:acc>
          </m:e>
          <m:sub>
            <m:r>
              <w:rPr>
                <w:rFonts w:ascii="Cambria Math" w:eastAsia="Times New Roman" w:hAnsi="Cambria Math"/>
                <w:snapToGrid w:val="0"/>
                <w:szCs w:val="24"/>
                <w:lang w:val="en-US" w:eastAsia="en-US"/>
              </w:rPr>
              <m:t>0</m:t>
            </m:r>
          </m:sub>
        </m:sSub>
      </m:oMath>
      <w:r w:rsidRPr="002C49E6">
        <w:rPr>
          <w:rFonts w:eastAsia="MS Mincho"/>
          <w:snapToGrid w:val="0"/>
          <w:szCs w:val="24"/>
          <w:lang w:val="en-US" w:eastAsia="ja-JP"/>
        </w:rPr>
        <w:t xml:space="preserve">, and </w:t>
      </w:r>
      <w:r w:rsidRPr="002C49E6">
        <w:rPr>
          <w:rFonts w:ascii="Symbol" w:eastAsia="MS Mincho" w:hAnsi="Symbol"/>
          <w:i/>
          <w:snapToGrid w:val="0"/>
          <w:szCs w:val="24"/>
          <w:lang w:val="en-US" w:eastAsia="ja-JP"/>
        </w:rPr>
        <w:t></w:t>
      </w:r>
      <w:r w:rsidRPr="002C49E6">
        <w:rPr>
          <w:rFonts w:eastAsia="MS Mincho"/>
          <w:snapToGrid w:val="0"/>
          <w:szCs w:val="24"/>
          <w:lang w:val="en-US" w:eastAsia="ja-JP"/>
        </w:rPr>
        <w:t xml:space="preserve"> and </w:t>
      </w:r>
      <w:r w:rsidRPr="002C49E6">
        <w:rPr>
          <w:rFonts w:ascii="Symbol" w:eastAsia="MS Mincho" w:hAnsi="Symbol"/>
          <w:i/>
          <w:snapToGrid w:val="0"/>
          <w:szCs w:val="24"/>
          <w:lang w:val="en-US" w:eastAsia="ja-JP"/>
        </w:rPr>
        <w:t></w:t>
      </w:r>
      <w:r w:rsidRPr="002C49E6">
        <w:rPr>
          <w:rFonts w:eastAsia="MS Mincho"/>
          <w:snapToGrid w:val="0"/>
          <w:szCs w:val="24"/>
          <w:lang w:val="en-US" w:eastAsia="ja-JP"/>
        </w:rPr>
        <w:t xml:space="preserve"> are form factors. We calculated the stress</w:t>
      </w:r>
      <w:r w:rsidRPr="002C49E6">
        <w:rPr>
          <w:rFonts w:eastAsia="Times New Roman"/>
          <w:snapToGrid w:val="0"/>
          <w:szCs w:val="24"/>
          <w:lang w:val="en-US" w:eastAsia="en-US"/>
        </w:rPr>
        <w:t>–</w:t>
      </w:r>
      <w:r w:rsidRPr="002C49E6">
        <w:rPr>
          <w:rFonts w:eastAsia="MS Mincho"/>
          <w:snapToGrid w:val="0"/>
          <w:szCs w:val="24"/>
          <w:lang w:val="en-US" w:eastAsia="ja-JP"/>
        </w:rPr>
        <w:t>strain hysteresis curves of the</w:t>
      </w:r>
      <w:r w:rsidRPr="002C49E6">
        <w:rPr>
          <w:rFonts w:eastAsia="MS Mincho" w:hint="eastAsia"/>
          <w:snapToGrid w:val="0"/>
          <w:szCs w:val="24"/>
          <w:lang w:val="en-US" w:eastAsia="ja-JP"/>
        </w:rPr>
        <w:t xml:space="preserve"> Fe</w:t>
      </w:r>
      <w:r w:rsidRPr="002C49E6">
        <w:rPr>
          <w:rFonts w:eastAsia="Times New Roman"/>
          <w:snapToGrid w:val="0"/>
          <w:szCs w:val="24"/>
          <w:lang w:val="en-US" w:eastAsia="en-US"/>
        </w:rPr>
        <w:t>–</w:t>
      </w:r>
      <w:r w:rsidRPr="002C49E6">
        <w:rPr>
          <w:rFonts w:eastAsia="MS Mincho" w:hint="eastAsia"/>
          <w:snapToGrid w:val="0"/>
          <w:szCs w:val="24"/>
          <w:lang w:val="en-US" w:eastAsia="ja-JP"/>
        </w:rPr>
        <w:t>15Mn</w:t>
      </w:r>
      <w:r w:rsidRPr="002C49E6">
        <w:rPr>
          <w:rFonts w:eastAsia="Times New Roman"/>
          <w:snapToGrid w:val="0"/>
          <w:szCs w:val="24"/>
          <w:lang w:val="en-US" w:eastAsia="en-US"/>
        </w:rPr>
        <w:t>–</w:t>
      </w:r>
      <w:r w:rsidRPr="002C49E6">
        <w:rPr>
          <w:rFonts w:eastAsia="MS Mincho" w:hint="eastAsia"/>
          <w:snapToGrid w:val="0"/>
          <w:szCs w:val="24"/>
          <w:lang w:val="en-US" w:eastAsia="ja-JP"/>
        </w:rPr>
        <w:t>4Si</w:t>
      </w:r>
      <w:r w:rsidRPr="002C49E6">
        <w:rPr>
          <w:rFonts w:eastAsia="Times New Roman"/>
          <w:snapToGrid w:val="0"/>
          <w:szCs w:val="24"/>
          <w:lang w:val="en-US" w:eastAsia="en-US"/>
        </w:rPr>
        <w:t>–</w:t>
      </w:r>
      <w:r w:rsidRPr="002C49E6">
        <w:rPr>
          <w:rFonts w:eastAsia="MS Mincho" w:hint="eastAsia"/>
          <w:snapToGrid w:val="0"/>
          <w:szCs w:val="24"/>
          <w:lang w:val="en-US" w:eastAsia="ja-JP"/>
        </w:rPr>
        <w:t>10Cr</w:t>
      </w:r>
      <w:r w:rsidRPr="002C49E6">
        <w:rPr>
          <w:rFonts w:eastAsia="Times New Roman"/>
          <w:snapToGrid w:val="0"/>
          <w:szCs w:val="24"/>
          <w:lang w:val="en-US" w:eastAsia="en-US"/>
        </w:rPr>
        <w:t>–</w:t>
      </w:r>
      <w:r w:rsidRPr="002C49E6">
        <w:rPr>
          <w:rFonts w:eastAsia="MS Mincho" w:hint="eastAsia"/>
          <w:snapToGrid w:val="0"/>
          <w:szCs w:val="24"/>
          <w:lang w:val="en-US" w:eastAsia="ja-JP"/>
        </w:rPr>
        <w:t>8Ni</w:t>
      </w:r>
      <w:r w:rsidRPr="002C49E6">
        <w:rPr>
          <w:rFonts w:eastAsia="MS Mincho"/>
          <w:snapToGrid w:val="0"/>
          <w:szCs w:val="24"/>
          <w:lang w:val="en-US" w:eastAsia="ja-JP"/>
        </w:rPr>
        <w:t xml:space="preserve"> alloy by substituting the following values into Equation 1 and 2. </w:t>
      </w:r>
    </w:p>
    <w:p w:rsidR="002C49E6" w:rsidRPr="002C49E6" w:rsidRDefault="002C49E6" w:rsidP="002C49E6">
      <w:pPr>
        <w:widowControl w:val="0"/>
        <w:spacing w:after="0" w:line="240" w:lineRule="auto"/>
        <w:jc w:val="both"/>
        <w:rPr>
          <w:rFonts w:ascii="MS Mincho" w:eastAsia="MS Mincho" w:hAnsi="MS Mincho"/>
          <w:snapToGrid w:val="0"/>
          <w:szCs w:val="24"/>
          <w:lang w:val="en-US" w:eastAsia="ja-JP"/>
        </w:rPr>
      </w:pPr>
    </w:p>
    <w:p w:rsidR="002C49E6" w:rsidRPr="002C49E6" w:rsidRDefault="009E511A" w:rsidP="002C49E6">
      <w:pPr>
        <w:widowControl w:val="0"/>
        <w:spacing w:after="0" w:line="240" w:lineRule="auto"/>
        <w:jc w:val="both"/>
        <w:rPr>
          <w:rFonts w:ascii="MS Mincho" w:eastAsia="MS Mincho" w:hAnsi="MS Mincho"/>
          <w:snapToGrid w:val="0"/>
          <w:szCs w:val="24"/>
          <w:lang w:val="en-US" w:eastAsia="en-US"/>
        </w:rPr>
      </w:pPr>
      <m:oMathPara>
        <m:oMathParaPr>
          <m:jc m:val="left"/>
        </m:oMathParaPr>
        <m:oMath>
          <m:sSub>
            <m:sSubPr>
              <m:ctrlPr>
                <w:rPr>
                  <w:rFonts w:ascii="Cambria Math" w:eastAsia="Times New Roman" w:hAnsi="Cambria Math"/>
                  <w:i/>
                  <w:snapToGrid w:val="0"/>
                  <w:szCs w:val="24"/>
                  <w:lang w:val="en-US" w:eastAsia="en-US"/>
                </w:rPr>
              </m:ctrlPr>
            </m:sSubPr>
            <m:e>
              <m:acc>
                <m:accPr>
                  <m:chr m:val="̅"/>
                  <m:ctrlPr>
                    <w:rPr>
                      <w:rFonts w:ascii="Cambria Math" w:eastAsia="Times New Roman" w:hAnsi="Cambria Math"/>
                      <w:i/>
                      <w:snapToGrid w:val="0"/>
                      <w:szCs w:val="24"/>
                      <w:lang w:val="en-US" w:eastAsia="en-US"/>
                    </w:rPr>
                  </m:ctrlPr>
                </m:accPr>
                <m:e>
                  <m:r>
                    <w:rPr>
                      <w:rFonts w:ascii="Cambria Math" w:eastAsia="Times New Roman" w:hAnsi="Cambria Math"/>
                      <w:snapToGrid w:val="0"/>
                      <w:szCs w:val="24"/>
                      <w:lang w:val="en-US" w:eastAsia="en-US"/>
                    </w:rPr>
                    <m:t>σ</m:t>
                  </m:r>
                </m:e>
              </m:acc>
            </m:e>
            <m:sub>
              <m:r>
                <w:rPr>
                  <w:rFonts w:ascii="Cambria Math" w:eastAsia="Times New Roman" w:hAnsi="Cambria Math"/>
                  <w:snapToGrid w:val="0"/>
                  <w:szCs w:val="24"/>
                  <w:lang w:val="en-US" w:eastAsia="en-US"/>
                </w:rPr>
                <m:t>0</m:t>
              </m:r>
            </m:sub>
          </m:sSub>
          <m:r>
            <w:rPr>
              <w:rFonts w:ascii="Cambria Math" w:eastAsia="Times New Roman" w:hAnsi="Cambria Math"/>
              <w:snapToGrid w:val="0"/>
              <w:szCs w:val="24"/>
              <w:lang w:val="en-US" w:eastAsia="en-US"/>
            </w:rPr>
            <m:t xml:space="preserve">=256.5 </m:t>
          </m:r>
          <m:r>
            <m:rPr>
              <m:sty m:val="p"/>
            </m:rPr>
            <w:rPr>
              <w:rFonts w:ascii="Cambria Math" w:eastAsia="Times New Roman" w:hAnsi="Cambria Math"/>
              <w:snapToGrid w:val="0"/>
              <w:szCs w:val="24"/>
              <w:lang w:val="en-US" w:eastAsia="en-US"/>
            </w:rPr>
            <m:t>N/</m:t>
          </m:r>
          <m:sSup>
            <m:sSupPr>
              <m:ctrlPr>
                <w:rPr>
                  <w:rFonts w:ascii="Cambria Math" w:eastAsia="Times New Roman" w:hAnsi="Cambria Math"/>
                  <w:snapToGrid w:val="0"/>
                  <w:szCs w:val="24"/>
                  <w:lang w:val="en-US" w:eastAsia="en-US"/>
                </w:rPr>
              </m:ctrlPr>
            </m:sSupPr>
            <m:e>
              <m:r>
                <m:rPr>
                  <m:sty m:val="p"/>
                </m:rPr>
                <w:rPr>
                  <w:rFonts w:ascii="Cambria Math" w:eastAsia="Times New Roman" w:hAnsi="Cambria Math"/>
                  <w:snapToGrid w:val="0"/>
                  <w:szCs w:val="24"/>
                  <w:lang w:val="en-US" w:eastAsia="en-US"/>
                </w:rPr>
                <m:t>mm</m:t>
              </m:r>
            </m:e>
            <m:sup>
              <m:r>
                <m:rPr>
                  <m:sty m:val="p"/>
                </m:rPr>
                <w:rPr>
                  <w:rFonts w:ascii="Cambria Math" w:eastAsia="Times New Roman" w:hAnsi="Cambria Math"/>
                  <w:snapToGrid w:val="0"/>
                  <w:szCs w:val="24"/>
                  <w:lang w:val="en-US" w:eastAsia="en-US"/>
                </w:rPr>
                <m:t>2</m:t>
              </m:r>
            </m:sup>
          </m:sSup>
          <m:r>
            <w:rPr>
              <w:rFonts w:ascii="Cambria Math" w:eastAsia="MS Mincho" w:hAnsi="Cambria Math"/>
              <w:snapToGrid w:val="0"/>
              <w:szCs w:val="24"/>
              <w:lang w:val="en-US" w:eastAsia="en-US"/>
            </w:rPr>
            <m:t xml:space="preserve">, </m:t>
          </m:r>
          <m:sSub>
            <m:sSubPr>
              <m:ctrlPr>
                <w:rPr>
                  <w:rFonts w:ascii="Cambria Math" w:eastAsia="Times New Roman" w:hAnsi="Cambria Math"/>
                  <w:i/>
                  <w:snapToGrid w:val="0"/>
                  <w:szCs w:val="24"/>
                  <w:lang w:val="en-US" w:eastAsia="en-US"/>
                </w:rPr>
              </m:ctrlPr>
            </m:sSubPr>
            <m:e>
              <m:acc>
                <m:accPr>
                  <m:chr m:val="̅"/>
                  <m:ctrlPr>
                    <w:rPr>
                      <w:rFonts w:ascii="Cambria Math" w:eastAsia="Times New Roman" w:hAnsi="Cambria Math"/>
                      <w:i/>
                      <w:snapToGrid w:val="0"/>
                      <w:szCs w:val="24"/>
                      <w:lang w:val="en-US" w:eastAsia="en-US"/>
                    </w:rPr>
                  </m:ctrlPr>
                </m:accPr>
                <m:e>
                  <m:r>
                    <w:rPr>
                      <w:rFonts w:ascii="Cambria Math" w:eastAsia="Times New Roman" w:hAnsi="Cambria Math"/>
                      <w:snapToGrid w:val="0"/>
                      <w:szCs w:val="24"/>
                      <w:lang w:val="en-US" w:eastAsia="en-US"/>
                    </w:rPr>
                    <m:t>ε</m:t>
                  </m:r>
                </m:e>
              </m:acc>
            </m:e>
            <m:sub>
              <m:r>
                <w:rPr>
                  <w:rFonts w:ascii="Cambria Math" w:eastAsia="Times New Roman" w:hAnsi="Cambria Math"/>
                  <w:snapToGrid w:val="0"/>
                  <w:szCs w:val="24"/>
                  <w:lang w:val="en-US" w:eastAsia="en-US"/>
                </w:rPr>
                <m:t>0</m:t>
              </m:r>
            </m:sub>
          </m:sSub>
          <m:r>
            <w:rPr>
              <w:rFonts w:ascii="Cambria Math" w:eastAsia="Times New Roman" w:hAnsi="Cambria Math"/>
              <w:snapToGrid w:val="0"/>
              <w:szCs w:val="24"/>
              <w:lang w:val="en-US" w:eastAsia="en-US"/>
            </w:rPr>
            <m:t>=0.00135, ∝=0.49, η=4.6.</m:t>
          </m:r>
        </m:oMath>
      </m:oMathPara>
    </w:p>
    <w:p w:rsidR="002C49E6" w:rsidRPr="002C49E6" w:rsidRDefault="002C49E6" w:rsidP="002C49E6">
      <w:pPr>
        <w:widowControl w:val="0"/>
        <w:spacing w:after="0" w:line="240" w:lineRule="auto"/>
        <w:jc w:val="both"/>
        <w:rPr>
          <w:rFonts w:ascii="MS Mincho" w:eastAsia="MS Mincho" w:hAnsi="MS Mincho"/>
          <w:snapToGrid w:val="0"/>
          <w:szCs w:val="24"/>
          <w:lang w:val="en-US" w:eastAsia="ja-JP"/>
        </w:rPr>
      </w:pPr>
    </w:p>
    <w:p w:rsidR="002C49E6" w:rsidRPr="002C49E6" w:rsidRDefault="002C49E6" w:rsidP="002C49E6">
      <w:pPr>
        <w:widowControl w:val="0"/>
        <w:spacing w:after="0" w:line="240" w:lineRule="auto"/>
        <w:jc w:val="both"/>
        <w:rPr>
          <w:rFonts w:ascii="MS Mincho" w:eastAsia="MS Mincho" w:hAnsi="MS Mincho"/>
          <w:snapToGrid w:val="0"/>
          <w:szCs w:val="24"/>
          <w:lang w:val="en-US" w:eastAsia="ja-JP"/>
        </w:rPr>
      </w:pPr>
      <w:r w:rsidRPr="002C49E6">
        <w:rPr>
          <w:rFonts w:eastAsia="MS Mincho"/>
          <w:snapToGrid w:val="0"/>
          <w:szCs w:val="24"/>
          <w:lang w:val="en-US" w:eastAsia="ja-JP"/>
        </w:rPr>
        <w:t>Figure 11 shows the stress</w:t>
      </w:r>
      <w:r w:rsidRPr="002C49E6">
        <w:rPr>
          <w:rFonts w:eastAsia="Times New Roman"/>
          <w:snapToGrid w:val="0"/>
          <w:szCs w:val="24"/>
          <w:lang w:val="en-US" w:eastAsia="en-US"/>
        </w:rPr>
        <w:t>–</w:t>
      </w:r>
      <w:r w:rsidRPr="002C49E6">
        <w:rPr>
          <w:rFonts w:eastAsia="MS Mincho"/>
          <w:snapToGrid w:val="0"/>
          <w:szCs w:val="24"/>
          <w:lang w:val="en-US" w:eastAsia="ja-JP"/>
        </w:rPr>
        <w:t>strain curves calculated using the RO model and those obtained from the low-cycle fatigue tests. The hysteresis curves according to this model clearly match well with the experimental results. Consequently, we confirmed that the hysteresis curves of this alloy obtained using the RO model accurately reproduce the experimental hysteresis curves at each strain amplitude.</w:t>
      </w:r>
    </w:p>
    <w:p w:rsidR="002C49E6" w:rsidRPr="002C49E6" w:rsidRDefault="002C49E6" w:rsidP="002C49E6">
      <w:pPr>
        <w:widowControl w:val="0"/>
        <w:spacing w:after="0" w:line="240" w:lineRule="auto"/>
        <w:jc w:val="both"/>
        <w:rPr>
          <w:rFonts w:eastAsia="Times New Roman"/>
          <w:snapToGrid w:val="0"/>
          <w:szCs w:val="24"/>
          <w:lang w:val="en-US" w:eastAsia="ja-JP"/>
        </w:rPr>
      </w:pPr>
    </w:p>
    <w:p w:rsidR="002C49E6" w:rsidRPr="002C49E6" w:rsidRDefault="002C49E6" w:rsidP="002C49E6">
      <w:pPr>
        <w:framePr w:hSpace="142" w:wrap="around" w:vAnchor="text" w:hAnchor="margin" w:xAlign="center" w:y="123"/>
        <w:widowControl w:val="0"/>
        <w:spacing w:after="0" w:line="240" w:lineRule="auto"/>
        <w:jc w:val="both"/>
        <w:rPr>
          <w:rFonts w:ascii="MS Mincho" w:eastAsia="MS Mincho" w:hAnsi="MS Mincho"/>
          <w:snapToGrid w:val="0"/>
          <w:color w:val="9BBB59"/>
          <w:szCs w:val="24"/>
          <w:lang w:val="en-US" w:eastAsia="ja-JP"/>
        </w:rPr>
      </w:pPr>
    </w:p>
    <w:tbl>
      <w:tblPr>
        <w:tblpPr w:leftFromText="142" w:rightFromText="142" w:vertAnchor="text" w:horzAnchor="margin" w:tblpXSpec="center" w:tblpY="123"/>
        <w:tblW w:w="9889" w:type="dxa"/>
        <w:tblLayout w:type="fixed"/>
        <w:tblLook w:val="0000" w:firstRow="0" w:lastRow="0" w:firstColumn="0" w:lastColumn="0" w:noHBand="0" w:noVBand="0"/>
      </w:tblPr>
      <w:tblGrid>
        <w:gridCol w:w="9889"/>
      </w:tblGrid>
      <w:tr w:rsidR="002C49E6" w:rsidRPr="002C49E6" w:rsidTr="00FF6B28">
        <w:trPr>
          <w:cantSplit/>
          <w:trHeight w:val="2609"/>
        </w:trPr>
        <w:tc>
          <w:tcPr>
            <w:tcW w:w="9889" w:type="dxa"/>
            <w:vAlign w:val="center"/>
          </w:tcPr>
          <w:p w:rsidR="002C49E6" w:rsidRPr="002C49E6" w:rsidRDefault="002C49E6" w:rsidP="002C49E6">
            <w:pPr>
              <w:widowControl w:val="0"/>
              <w:tabs>
                <w:tab w:val="left" w:pos="0"/>
                <w:tab w:val="left" w:pos="720"/>
                <w:tab w:val="left" w:pos="1086"/>
                <w:tab w:val="left" w:pos="1440"/>
              </w:tabs>
              <w:suppressAutoHyphens/>
              <w:spacing w:after="0" w:line="240" w:lineRule="auto"/>
              <w:jc w:val="both"/>
              <w:rPr>
                <w:rFonts w:ascii="MS Mincho" w:eastAsia="MS Mincho" w:hAnsi="MS Mincho"/>
                <w:noProof/>
                <w:snapToGrid w:val="0"/>
                <w:szCs w:val="24"/>
                <w:lang w:val="en-US" w:eastAsia="ja-JP"/>
              </w:rPr>
            </w:pPr>
            <w:r w:rsidRPr="002C49E6">
              <w:rPr>
                <w:rFonts w:ascii="MS Mincho" w:eastAsia="MS Mincho" w:hAnsi="MS Mincho"/>
                <w:noProof/>
                <w:snapToGrid w:val="0"/>
                <w:szCs w:val="24"/>
                <w:lang w:val="en-US" w:eastAsia="ja-JP"/>
              </w:rPr>
              <w:lastRenderedPageBreak/>
              <w:t xml:space="preserve"> </w:t>
            </w:r>
            <w:r w:rsidRPr="002C49E6">
              <w:rPr>
                <w:rFonts w:ascii="MS Mincho" w:eastAsia="MS Mincho" w:hAnsi="MS Mincho"/>
                <w:noProof/>
                <w:snapToGrid w:val="0"/>
                <w:szCs w:val="24"/>
              </w:rPr>
              <w:drawing>
                <wp:inline distT="0" distB="0" distL="0" distR="0" wp14:anchorId="2CCB8B1C" wp14:editId="17A47AAE">
                  <wp:extent cx="1965960" cy="1687320"/>
                  <wp:effectExtent l="0" t="0" r="0" b="8255"/>
                  <wp:docPr id="2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5960" cy="1687320"/>
                          </a:xfrm>
                          <a:prstGeom prst="rect">
                            <a:avLst/>
                          </a:prstGeom>
                          <a:noFill/>
                          <a:ln>
                            <a:noFill/>
                          </a:ln>
                        </pic:spPr>
                      </pic:pic>
                    </a:graphicData>
                  </a:graphic>
                </wp:inline>
              </w:drawing>
            </w:r>
            <w:r w:rsidRPr="002C49E6">
              <w:rPr>
                <w:rFonts w:ascii="MS Mincho" w:eastAsia="MS Mincho" w:hAnsi="MS Mincho"/>
                <w:noProof/>
                <w:snapToGrid w:val="0"/>
                <w:szCs w:val="24"/>
                <w:lang w:val="en-US" w:eastAsia="ja-JP"/>
              </w:rPr>
              <w:t xml:space="preserve"> </w:t>
            </w:r>
            <w:r w:rsidRPr="002C49E6">
              <w:rPr>
                <w:rFonts w:ascii="MS Mincho" w:eastAsia="MS Mincho" w:hAnsi="MS Mincho"/>
                <w:noProof/>
                <w:snapToGrid w:val="0"/>
                <w:szCs w:val="24"/>
              </w:rPr>
              <w:drawing>
                <wp:inline distT="0" distB="0" distL="0" distR="0" wp14:anchorId="1C031FF5" wp14:editId="3EEDBD11">
                  <wp:extent cx="1965960" cy="1685520"/>
                  <wp:effectExtent l="0" t="0" r="0" b="0"/>
                  <wp:docPr id="2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5960" cy="1685520"/>
                          </a:xfrm>
                          <a:prstGeom prst="rect">
                            <a:avLst/>
                          </a:prstGeom>
                          <a:noFill/>
                          <a:ln>
                            <a:noFill/>
                          </a:ln>
                        </pic:spPr>
                      </pic:pic>
                    </a:graphicData>
                  </a:graphic>
                </wp:inline>
              </w:drawing>
            </w:r>
            <w:r w:rsidRPr="002C49E6">
              <w:rPr>
                <w:rFonts w:ascii="MS Mincho" w:eastAsia="MS Mincho" w:hAnsi="MS Mincho"/>
                <w:noProof/>
                <w:snapToGrid w:val="0"/>
                <w:szCs w:val="24"/>
              </w:rPr>
              <w:drawing>
                <wp:inline distT="0" distB="0" distL="0" distR="0" wp14:anchorId="417AFE75" wp14:editId="26809AB5">
                  <wp:extent cx="1965960" cy="1687320"/>
                  <wp:effectExtent l="0" t="0" r="0" b="8255"/>
                  <wp:docPr id="2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5960" cy="1687320"/>
                          </a:xfrm>
                          <a:prstGeom prst="rect">
                            <a:avLst/>
                          </a:prstGeom>
                          <a:noFill/>
                          <a:ln>
                            <a:noFill/>
                          </a:ln>
                        </pic:spPr>
                      </pic:pic>
                    </a:graphicData>
                  </a:graphic>
                </wp:inline>
              </w:drawing>
            </w:r>
          </w:p>
          <w:p w:rsidR="002C49E6" w:rsidRPr="002C49E6" w:rsidRDefault="002C49E6" w:rsidP="002C49E6">
            <w:pPr>
              <w:widowControl w:val="0"/>
              <w:tabs>
                <w:tab w:val="left" w:pos="0"/>
                <w:tab w:val="left" w:pos="720"/>
                <w:tab w:val="left" w:pos="1086"/>
                <w:tab w:val="left" w:pos="1440"/>
              </w:tabs>
              <w:suppressAutoHyphens/>
              <w:spacing w:after="0" w:line="240" w:lineRule="auto"/>
              <w:jc w:val="both"/>
              <w:rPr>
                <w:rFonts w:ascii="MS Mincho" w:eastAsia="MS Mincho" w:hAnsi="MS Mincho"/>
                <w:noProof/>
                <w:snapToGrid w:val="0"/>
                <w:szCs w:val="24"/>
                <w:lang w:val="en-US" w:eastAsia="ja-JP"/>
              </w:rPr>
            </w:pPr>
          </w:p>
        </w:tc>
      </w:tr>
    </w:tbl>
    <w:p w:rsidR="002C49E6" w:rsidRPr="002C49E6" w:rsidRDefault="002C49E6" w:rsidP="002C49E6">
      <w:pPr>
        <w:widowControl w:val="0"/>
        <w:spacing w:after="0" w:line="240" w:lineRule="auto"/>
        <w:jc w:val="center"/>
        <w:rPr>
          <w:rFonts w:eastAsia="Times New Roman"/>
          <w:snapToGrid w:val="0"/>
          <w:sz w:val="20"/>
          <w:szCs w:val="24"/>
          <w:lang w:val="en-US" w:eastAsia="en-US"/>
        </w:rPr>
      </w:pPr>
    </w:p>
    <w:p w:rsidR="002C49E6" w:rsidRPr="002C49E6" w:rsidRDefault="002C49E6" w:rsidP="002C49E6">
      <w:pPr>
        <w:widowControl w:val="0"/>
        <w:spacing w:after="0" w:line="240" w:lineRule="auto"/>
        <w:jc w:val="center"/>
        <w:rPr>
          <w:rFonts w:eastAsia="MS Mincho"/>
          <w:snapToGrid w:val="0"/>
          <w:szCs w:val="24"/>
          <w:lang w:val="en-US" w:eastAsia="ja-JP"/>
        </w:rPr>
      </w:pPr>
      <w:r w:rsidRPr="002C49E6">
        <w:rPr>
          <w:rFonts w:eastAsia="Times New Roman"/>
          <w:snapToGrid w:val="0"/>
          <w:sz w:val="20"/>
          <w:szCs w:val="24"/>
          <w:lang w:val="en-US" w:eastAsia="en-US"/>
        </w:rPr>
        <w:t>Figure 11. Stress–strain curves calculated using the RO model (blue) and from experiments (black)</w:t>
      </w:r>
    </w:p>
    <w:p w:rsidR="002C49E6" w:rsidRPr="002C49E6" w:rsidRDefault="002C49E6" w:rsidP="002C49E6">
      <w:pPr>
        <w:widowControl w:val="0"/>
        <w:spacing w:after="0" w:line="240" w:lineRule="auto"/>
        <w:jc w:val="both"/>
        <w:rPr>
          <w:rFonts w:eastAsia="MS Mincho"/>
          <w:snapToGrid w:val="0"/>
          <w:szCs w:val="24"/>
          <w:lang w:val="en-US" w:eastAsia="ja-JP"/>
        </w:rPr>
      </w:pPr>
    </w:p>
    <w:p w:rsidR="002C49E6" w:rsidRPr="002C49E6" w:rsidRDefault="002C49E6" w:rsidP="002C49E6">
      <w:pPr>
        <w:widowControl w:val="0"/>
        <w:spacing w:after="0" w:line="240" w:lineRule="auto"/>
        <w:jc w:val="both"/>
        <w:rPr>
          <w:rFonts w:eastAsia="MS Mincho"/>
          <w:snapToGrid w:val="0"/>
          <w:szCs w:val="24"/>
          <w:lang w:val="en-US" w:eastAsia="ja-JP"/>
        </w:rPr>
      </w:pPr>
    </w:p>
    <w:p w:rsidR="002C49E6" w:rsidRPr="002C49E6" w:rsidRDefault="002C49E6" w:rsidP="002C49E6">
      <w:pPr>
        <w:keepNext/>
        <w:widowControl w:val="0"/>
        <w:tabs>
          <w:tab w:val="center" w:pos="4680"/>
        </w:tabs>
        <w:suppressAutoHyphens/>
        <w:spacing w:after="0" w:line="240" w:lineRule="auto"/>
        <w:jc w:val="both"/>
        <w:outlineLvl w:val="0"/>
        <w:rPr>
          <w:rFonts w:eastAsia="Times New Roman"/>
          <w:b/>
          <w:caps/>
          <w:snapToGrid w:val="0"/>
          <w:szCs w:val="24"/>
          <w:lang w:val="en-US" w:eastAsia="ja-JP"/>
        </w:rPr>
      </w:pPr>
      <w:r w:rsidRPr="002C49E6">
        <w:rPr>
          <w:rFonts w:eastAsia="Times New Roman"/>
          <w:b/>
          <w:caps/>
          <w:snapToGrid w:val="0"/>
          <w:szCs w:val="24"/>
          <w:lang w:val="en-US" w:eastAsia="ja-JP"/>
        </w:rPr>
        <w:t>4. Conclusions</w:t>
      </w:r>
    </w:p>
    <w:p w:rsidR="002C49E6" w:rsidRPr="002C49E6" w:rsidRDefault="002C49E6" w:rsidP="002C49E6">
      <w:pPr>
        <w:widowControl w:val="0"/>
        <w:spacing w:after="0" w:line="240" w:lineRule="auto"/>
        <w:jc w:val="both"/>
        <w:rPr>
          <w:rFonts w:eastAsia="Times New Roman"/>
          <w:snapToGrid w:val="0"/>
          <w:szCs w:val="24"/>
          <w:lang w:val="en-US" w:eastAsia="ja-JP"/>
        </w:rPr>
      </w:pPr>
    </w:p>
    <w:p w:rsidR="002C49E6" w:rsidRPr="002C49E6" w:rsidRDefault="002C49E6" w:rsidP="002C49E6">
      <w:pPr>
        <w:widowControl w:val="0"/>
        <w:spacing w:after="0" w:line="240" w:lineRule="auto"/>
        <w:jc w:val="both"/>
        <w:rPr>
          <w:rFonts w:eastAsia="Times New Roman"/>
          <w:snapToGrid w:val="0"/>
          <w:szCs w:val="24"/>
          <w:lang w:val="en-US" w:eastAsia="ja-JP"/>
        </w:rPr>
      </w:pPr>
      <w:r w:rsidRPr="002C49E6">
        <w:rPr>
          <w:rFonts w:eastAsia="Times New Roman"/>
          <w:snapToGrid w:val="0"/>
          <w:szCs w:val="24"/>
          <w:lang w:val="en-US" w:eastAsia="ja-JP"/>
        </w:rPr>
        <w:t xml:space="preserve">In this study, we confirmed that the tensile properties and low-cycle fatigue characteristics of </w:t>
      </w:r>
      <w:r w:rsidRPr="002C49E6">
        <w:rPr>
          <w:rFonts w:eastAsia="MS Mincho" w:hint="eastAsia"/>
          <w:snapToGrid w:val="0"/>
          <w:szCs w:val="24"/>
          <w:lang w:val="en-US" w:eastAsia="ja-JP"/>
        </w:rPr>
        <w:t>Fe</w:t>
      </w:r>
      <w:r w:rsidRPr="002C49E6">
        <w:rPr>
          <w:rFonts w:eastAsia="Times New Roman"/>
          <w:snapToGrid w:val="0"/>
          <w:szCs w:val="24"/>
          <w:lang w:val="en-US" w:eastAsia="en-US"/>
        </w:rPr>
        <w:t>–</w:t>
      </w:r>
      <w:r w:rsidRPr="002C49E6">
        <w:rPr>
          <w:rFonts w:eastAsia="MS Mincho" w:hint="eastAsia"/>
          <w:snapToGrid w:val="0"/>
          <w:szCs w:val="24"/>
          <w:lang w:val="en-US" w:eastAsia="ja-JP"/>
        </w:rPr>
        <w:t>15Mn</w:t>
      </w:r>
      <w:r w:rsidRPr="002C49E6">
        <w:rPr>
          <w:rFonts w:eastAsia="Times New Roman"/>
          <w:snapToGrid w:val="0"/>
          <w:szCs w:val="24"/>
          <w:lang w:val="en-US" w:eastAsia="en-US"/>
        </w:rPr>
        <w:t>–</w:t>
      </w:r>
      <w:r w:rsidRPr="002C49E6">
        <w:rPr>
          <w:rFonts w:eastAsia="MS Mincho" w:hint="eastAsia"/>
          <w:snapToGrid w:val="0"/>
          <w:szCs w:val="24"/>
          <w:lang w:val="en-US" w:eastAsia="ja-JP"/>
        </w:rPr>
        <w:t>4Si</w:t>
      </w:r>
      <w:r w:rsidRPr="002C49E6">
        <w:rPr>
          <w:rFonts w:eastAsia="Times New Roman"/>
          <w:snapToGrid w:val="0"/>
          <w:szCs w:val="24"/>
          <w:lang w:val="en-US" w:eastAsia="en-US"/>
        </w:rPr>
        <w:t>–</w:t>
      </w:r>
      <w:r w:rsidRPr="002C49E6">
        <w:rPr>
          <w:rFonts w:eastAsia="MS Mincho" w:hint="eastAsia"/>
          <w:snapToGrid w:val="0"/>
          <w:szCs w:val="24"/>
          <w:lang w:val="en-US" w:eastAsia="ja-JP"/>
        </w:rPr>
        <w:t>10Cr</w:t>
      </w:r>
      <w:r w:rsidRPr="002C49E6">
        <w:rPr>
          <w:rFonts w:eastAsia="Times New Roman"/>
          <w:snapToGrid w:val="0"/>
          <w:szCs w:val="24"/>
          <w:lang w:val="en-US" w:eastAsia="en-US"/>
        </w:rPr>
        <w:t>–</w:t>
      </w:r>
      <w:r w:rsidRPr="002C49E6">
        <w:rPr>
          <w:rFonts w:eastAsia="MS Mincho" w:hint="eastAsia"/>
          <w:snapToGrid w:val="0"/>
          <w:szCs w:val="24"/>
          <w:lang w:val="en-US" w:eastAsia="ja-JP"/>
        </w:rPr>
        <w:t>8Ni</w:t>
      </w:r>
      <w:r w:rsidRPr="002C49E6">
        <w:rPr>
          <w:rFonts w:eastAsia="Times New Roman"/>
          <w:snapToGrid w:val="0"/>
          <w:szCs w:val="24"/>
          <w:lang w:val="en-US" w:eastAsia="en-US"/>
        </w:rPr>
        <w:t xml:space="preserve"> alloy</w:t>
      </w:r>
      <w:r w:rsidRPr="002C49E6">
        <w:rPr>
          <w:rFonts w:eastAsia="Times New Roman"/>
          <w:snapToGrid w:val="0"/>
          <w:szCs w:val="24"/>
          <w:lang w:val="en-US" w:eastAsia="ja-JP"/>
        </w:rPr>
        <w:t xml:space="preserve"> make it suitable for use in fatigue-resistant seismic dampers against large-amplitude cyclic deformations. Additionally, </w:t>
      </w:r>
      <w:r w:rsidRPr="002C49E6">
        <w:rPr>
          <w:rFonts w:eastAsia="MS Mincho"/>
          <w:snapToGrid w:val="0"/>
          <w:szCs w:val="24"/>
          <w:lang w:val="en-US" w:eastAsia="ja-JP"/>
        </w:rPr>
        <w:t>we</w:t>
      </w:r>
      <w:r w:rsidRPr="002C49E6">
        <w:rPr>
          <w:rFonts w:eastAsia="Times New Roman"/>
          <w:snapToGrid w:val="0"/>
          <w:szCs w:val="24"/>
          <w:lang w:val="en-US" w:eastAsia="ja-JP"/>
        </w:rPr>
        <w:t xml:space="preserve"> </w:t>
      </w:r>
      <w:r w:rsidRPr="002C49E6">
        <w:rPr>
          <w:rFonts w:eastAsia="MS Mincho"/>
          <w:snapToGrid w:val="0"/>
          <w:szCs w:val="24"/>
          <w:lang w:val="en-US" w:eastAsia="ja-JP"/>
        </w:rPr>
        <w:t>confirmed that the hysteresis curves of this alloy obtained using the RO function model accurately reproduce the experimental value at each strain amplitude</w:t>
      </w:r>
      <w:r w:rsidRPr="002C49E6">
        <w:rPr>
          <w:rFonts w:eastAsia="Times New Roman"/>
          <w:snapToGrid w:val="0"/>
          <w:szCs w:val="24"/>
          <w:lang w:val="en-US" w:eastAsia="ja-JP"/>
        </w:rPr>
        <w:t>.</w:t>
      </w:r>
    </w:p>
    <w:p w:rsidR="002C49E6" w:rsidRPr="002C49E6" w:rsidRDefault="002C49E6" w:rsidP="002C49E6">
      <w:pPr>
        <w:widowControl w:val="0"/>
        <w:spacing w:after="0" w:line="240" w:lineRule="auto"/>
        <w:jc w:val="both"/>
        <w:rPr>
          <w:rFonts w:eastAsia="Times New Roman"/>
          <w:snapToGrid w:val="0"/>
          <w:szCs w:val="24"/>
          <w:lang w:val="en-US" w:eastAsia="en-US"/>
        </w:rPr>
      </w:pPr>
    </w:p>
    <w:p w:rsidR="002C49E6" w:rsidRPr="002C49E6" w:rsidRDefault="002C49E6" w:rsidP="002C49E6">
      <w:pPr>
        <w:widowControl w:val="0"/>
        <w:spacing w:after="0" w:line="240" w:lineRule="auto"/>
        <w:jc w:val="both"/>
        <w:rPr>
          <w:rFonts w:eastAsia="Times New Roman"/>
          <w:snapToGrid w:val="0"/>
          <w:szCs w:val="24"/>
          <w:lang w:val="en-US" w:eastAsia="en-US"/>
        </w:rPr>
      </w:pPr>
    </w:p>
    <w:p w:rsidR="002C49E6" w:rsidRPr="002C49E6" w:rsidRDefault="002C49E6" w:rsidP="002C49E6">
      <w:pPr>
        <w:keepNext/>
        <w:widowControl w:val="0"/>
        <w:tabs>
          <w:tab w:val="center" w:pos="4680"/>
        </w:tabs>
        <w:suppressAutoHyphens/>
        <w:spacing w:after="0" w:line="240" w:lineRule="auto"/>
        <w:jc w:val="both"/>
        <w:outlineLvl w:val="0"/>
        <w:rPr>
          <w:rFonts w:eastAsia="Times New Roman"/>
          <w:b/>
          <w:caps/>
          <w:snapToGrid w:val="0"/>
          <w:szCs w:val="24"/>
          <w:lang w:val="en-US" w:eastAsia="ja-JP"/>
        </w:rPr>
      </w:pPr>
      <w:r w:rsidRPr="002C49E6">
        <w:rPr>
          <w:rFonts w:eastAsia="Times New Roman"/>
          <w:b/>
          <w:caps/>
          <w:snapToGrid w:val="0"/>
          <w:szCs w:val="24"/>
          <w:lang w:val="en-US" w:eastAsia="ja-JP"/>
        </w:rPr>
        <w:t xml:space="preserve">5. Acknowledgments </w:t>
      </w:r>
    </w:p>
    <w:p w:rsidR="002C49E6" w:rsidRPr="002C49E6" w:rsidRDefault="002C49E6" w:rsidP="002C49E6">
      <w:pPr>
        <w:widowControl w:val="0"/>
        <w:spacing w:after="0" w:line="240" w:lineRule="auto"/>
        <w:jc w:val="both"/>
        <w:rPr>
          <w:rFonts w:eastAsia="Times New Roman"/>
          <w:snapToGrid w:val="0"/>
          <w:szCs w:val="24"/>
          <w:lang w:val="en-US" w:eastAsia="ja-JP"/>
        </w:rPr>
      </w:pPr>
    </w:p>
    <w:p w:rsidR="002C49E6" w:rsidRPr="002C49E6" w:rsidRDefault="002C49E6" w:rsidP="002C49E6">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r w:rsidRPr="002C49E6">
        <w:rPr>
          <w:rFonts w:eastAsia="MS Mincho" w:hint="eastAsia"/>
          <w:snapToGrid w:val="0"/>
          <w:szCs w:val="24"/>
          <w:lang w:val="en-US" w:eastAsia="ja-JP"/>
        </w:rPr>
        <w:t xml:space="preserve">Part of this work was </w:t>
      </w:r>
      <w:r w:rsidRPr="002C49E6">
        <w:rPr>
          <w:rFonts w:eastAsia="Times New Roman"/>
          <w:snapToGrid w:val="0"/>
          <w:szCs w:val="24"/>
          <w:lang w:val="en-US" w:eastAsia="ja-JP"/>
        </w:rPr>
        <w:t>financially</w:t>
      </w:r>
      <w:r w:rsidRPr="002C49E6">
        <w:rPr>
          <w:rFonts w:eastAsia="MS Mincho" w:hint="eastAsia"/>
          <w:snapToGrid w:val="0"/>
          <w:szCs w:val="24"/>
          <w:lang w:val="en-US" w:eastAsia="ja-JP"/>
        </w:rPr>
        <w:t xml:space="preserve"> supported</w:t>
      </w:r>
      <w:r w:rsidRPr="002C49E6">
        <w:rPr>
          <w:rFonts w:eastAsia="MS Mincho"/>
          <w:snapToGrid w:val="0"/>
          <w:szCs w:val="24"/>
          <w:lang w:val="en-US" w:eastAsia="ja-JP"/>
        </w:rPr>
        <w:t xml:space="preserve"> by </w:t>
      </w:r>
      <w:r w:rsidRPr="002C49E6">
        <w:rPr>
          <w:rFonts w:eastAsia="Times New Roman"/>
          <w:snapToGrid w:val="0"/>
          <w:szCs w:val="24"/>
          <w:lang w:val="en-US" w:eastAsia="ja-JP"/>
        </w:rPr>
        <w:t>Bridging R&amp;D and Business Promotion for Small and Medium-Sized Enterprises Project, New Energy and Industrial Technology Development Organization (NEDO), Japan.</w:t>
      </w:r>
    </w:p>
    <w:p w:rsidR="002C49E6" w:rsidRPr="002C49E6" w:rsidRDefault="002C49E6" w:rsidP="002C49E6">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2C49E6" w:rsidRPr="002C49E6" w:rsidRDefault="002C49E6" w:rsidP="002C49E6">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2C49E6" w:rsidRPr="002C49E6" w:rsidRDefault="002C49E6" w:rsidP="002C49E6">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2C49E6">
        <w:rPr>
          <w:rFonts w:eastAsia="Times New Roman"/>
          <w:b/>
          <w:caps/>
          <w:snapToGrid w:val="0"/>
          <w:szCs w:val="24"/>
          <w:lang w:val="en-US" w:eastAsia="en-US"/>
        </w:rPr>
        <w:t>6. References</w:t>
      </w:r>
    </w:p>
    <w:p w:rsidR="002C49E6" w:rsidRPr="002C49E6" w:rsidRDefault="002C49E6" w:rsidP="002C49E6">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2C49E6" w:rsidRPr="002C49E6" w:rsidRDefault="002C49E6" w:rsidP="002C49E6">
      <w:pPr>
        <w:widowControl w:val="0"/>
        <w:spacing w:after="120" w:line="240" w:lineRule="auto"/>
        <w:jc w:val="both"/>
        <w:rPr>
          <w:rFonts w:eastAsia="Calibri"/>
          <w:snapToGrid w:val="0"/>
          <w:color w:val="000000"/>
          <w:sz w:val="20"/>
          <w:szCs w:val="20"/>
          <w:lang w:val="en-US" w:eastAsia="ja-JP" w:bidi="en-US"/>
        </w:rPr>
      </w:pPr>
      <w:r w:rsidRPr="002C49E6">
        <w:rPr>
          <w:rFonts w:eastAsia="Calibri" w:hint="eastAsia"/>
          <w:snapToGrid w:val="0"/>
          <w:color w:val="000000"/>
          <w:sz w:val="20"/>
          <w:szCs w:val="20"/>
          <w:lang w:val="en-US" w:eastAsia="ja-JP" w:bidi="en-US"/>
        </w:rPr>
        <w:t>Sawaguchi T.,</w:t>
      </w:r>
      <w:r w:rsidRPr="002C49E6">
        <w:rPr>
          <w:rFonts w:eastAsia="Calibri"/>
          <w:snapToGrid w:val="0"/>
          <w:color w:val="000000"/>
          <w:sz w:val="20"/>
          <w:szCs w:val="20"/>
          <w:lang w:val="en-US" w:eastAsia="ja-JP" w:bidi="en-US"/>
        </w:rPr>
        <w:t xml:space="preserve"> Sahu P., Kikuchi T., Ogawa K., Kajiwara S., Kushibe A., Higashino M. and Ogawa T. (2006) Vibration mitigation by the reversible fcc/hcp martensitic transformation during cyclic tension-compression loading of an Fe</w:t>
      </w:r>
      <w:r w:rsidRPr="002C49E6">
        <w:rPr>
          <w:rFonts w:eastAsia="Calibri"/>
          <w:snapToGrid w:val="0"/>
          <w:color w:val="000000"/>
          <w:sz w:val="20"/>
          <w:szCs w:val="20"/>
          <w:lang w:val="en-US" w:eastAsia="en-US" w:bidi="en-US"/>
        </w:rPr>
        <w:t>–</w:t>
      </w:r>
      <w:r w:rsidRPr="002C49E6">
        <w:rPr>
          <w:rFonts w:eastAsia="Calibri"/>
          <w:snapToGrid w:val="0"/>
          <w:color w:val="000000"/>
          <w:sz w:val="20"/>
          <w:szCs w:val="20"/>
          <w:lang w:val="en-US" w:eastAsia="ja-JP" w:bidi="en-US"/>
        </w:rPr>
        <w:t>Mn</w:t>
      </w:r>
      <w:r w:rsidRPr="002C49E6">
        <w:rPr>
          <w:rFonts w:eastAsia="Calibri"/>
          <w:snapToGrid w:val="0"/>
          <w:color w:val="000000"/>
          <w:sz w:val="20"/>
          <w:szCs w:val="20"/>
          <w:lang w:val="en-US" w:eastAsia="en-US" w:bidi="en-US"/>
        </w:rPr>
        <w:t>–</w:t>
      </w:r>
      <w:r w:rsidRPr="002C49E6">
        <w:rPr>
          <w:rFonts w:eastAsia="Calibri"/>
          <w:snapToGrid w:val="0"/>
          <w:color w:val="000000"/>
          <w:sz w:val="20"/>
          <w:szCs w:val="20"/>
          <w:lang w:val="en-US" w:eastAsia="ja-JP" w:bidi="en-US"/>
        </w:rPr>
        <w:t xml:space="preserve">Si-based shape memory alloy, Scripta Materialia, </w:t>
      </w:r>
      <w:r w:rsidRPr="002C49E6">
        <w:rPr>
          <w:rFonts w:eastAsia="Calibri"/>
          <w:b/>
          <w:snapToGrid w:val="0"/>
          <w:color w:val="000000"/>
          <w:sz w:val="20"/>
          <w:szCs w:val="20"/>
          <w:lang w:val="en-US" w:eastAsia="ja-JP" w:bidi="en-US"/>
        </w:rPr>
        <w:t>54</w:t>
      </w:r>
      <w:r w:rsidRPr="002C49E6">
        <w:rPr>
          <w:rFonts w:eastAsia="Calibri"/>
          <w:snapToGrid w:val="0"/>
          <w:color w:val="000000"/>
          <w:sz w:val="20"/>
          <w:szCs w:val="20"/>
          <w:lang w:val="en-US" w:eastAsia="ja-JP" w:bidi="en-US"/>
        </w:rPr>
        <w:t>(11):1885-1890.</w:t>
      </w:r>
    </w:p>
    <w:p w:rsidR="002C49E6" w:rsidRPr="002C49E6" w:rsidRDefault="002C49E6" w:rsidP="002C49E6">
      <w:pPr>
        <w:widowControl w:val="0"/>
        <w:spacing w:after="120" w:line="240" w:lineRule="auto"/>
        <w:jc w:val="both"/>
        <w:rPr>
          <w:rFonts w:eastAsia="Calibri"/>
          <w:snapToGrid w:val="0"/>
          <w:color w:val="000000"/>
          <w:sz w:val="20"/>
          <w:szCs w:val="20"/>
          <w:lang w:val="en-US" w:eastAsia="ja-JP" w:bidi="en-US"/>
        </w:rPr>
      </w:pPr>
      <w:r w:rsidRPr="002C49E6">
        <w:rPr>
          <w:rFonts w:eastAsia="Calibri"/>
          <w:snapToGrid w:val="0"/>
          <w:color w:val="000000"/>
          <w:sz w:val="20"/>
          <w:szCs w:val="20"/>
          <w:lang w:val="en-US" w:eastAsia="ja-JP" w:bidi="en-US"/>
        </w:rPr>
        <w:t xml:space="preserve">Sawaguchi T., Nikulin I., Ogawa K., Sekido S., Takamori T., Maruyama T., Chiba Y., Kushibe A., Inoue Y. and Tsuzaki K. (2015) Designing Fe–Mn–Si alloys with improved low-cycle fatigue lives, Scripta Materialia, </w:t>
      </w:r>
      <w:r w:rsidRPr="002C49E6">
        <w:rPr>
          <w:rFonts w:eastAsia="Calibri"/>
          <w:b/>
          <w:snapToGrid w:val="0"/>
          <w:color w:val="000000"/>
          <w:sz w:val="20"/>
          <w:szCs w:val="20"/>
          <w:lang w:val="en-US" w:eastAsia="ja-JP" w:bidi="en-US"/>
        </w:rPr>
        <w:t>99</w:t>
      </w:r>
      <w:r w:rsidRPr="002C49E6">
        <w:rPr>
          <w:rFonts w:eastAsia="Calibri"/>
          <w:snapToGrid w:val="0"/>
          <w:color w:val="000000"/>
          <w:sz w:val="20"/>
          <w:szCs w:val="20"/>
          <w:lang w:val="en-US" w:eastAsia="ja-JP" w:bidi="en-US"/>
        </w:rPr>
        <w:t xml:space="preserve">: 49-52. </w:t>
      </w:r>
    </w:p>
    <w:p w:rsidR="002C49E6" w:rsidRPr="002C49E6" w:rsidRDefault="002C49E6" w:rsidP="002C49E6">
      <w:pPr>
        <w:widowControl w:val="0"/>
        <w:spacing w:after="120" w:line="240" w:lineRule="auto"/>
        <w:jc w:val="both"/>
        <w:rPr>
          <w:rFonts w:eastAsia="Calibri"/>
          <w:snapToGrid w:val="0"/>
          <w:color w:val="000000"/>
          <w:sz w:val="20"/>
          <w:szCs w:val="20"/>
          <w:lang w:val="en-US" w:eastAsia="ja-JP" w:bidi="en-US"/>
        </w:rPr>
      </w:pPr>
      <w:r w:rsidRPr="002C49E6">
        <w:rPr>
          <w:rFonts w:eastAsia="Calibri"/>
          <w:snapToGrid w:val="0"/>
          <w:color w:val="000000"/>
          <w:sz w:val="20"/>
          <w:szCs w:val="20"/>
          <w:lang w:val="en-US" w:eastAsia="ja-JP" w:bidi="en-US"/>
        </w:rPr>
        <w:t xml:space="preserve">Sawaguchi T., Maruyama T., Otsuka H., Kushibe A., Inoue Y., Tsuzaki K. (2016) Design concept and applications of Fe–Mn–Si-based alloys –from shape-memory to seismic response control-, Materials Transactions, </w:t>
      </w:r>
      <w:r w:rsidRPr="002C49E6">
        <w:rPr>
          <w:rFonts w:eastAsia="Calibri"/>
          <w:b/>
          <w:snapToGrid w:val="0"/>
          <w:color w:val="000000"/>
          <w:sz w:val="20"/>
          <w:szCs w:val="20"/>
          <w:lang w:val="en-US" w:eastAsia="ja-JP" w:bidi="en-US"/>
        </w:rPr>
        <w:t>57</w:t>
      </w:r>
      <w:r w:rsidRPr="002C49E6">
        <w:rPr>
          <w:rFonts w:eastAsia="Calibri"/>
          <w:snapToGrid w:val="0"/>
          <w:color w:val="000000"/>
          <w:sz w:val="20"/>
          <w:szCs w:val="20"/>
          <w:lang w:val="en-US" w:eastAsia="ja-JP" w:bidi="en-US"/>
        </w:rPr>
        <w:t>(3):283-293.</w:t>
      </w:r>
    </w:p>
    <w:p w:rsidR="002C49E6" w:rsidRPr="002C49E6" w:rsidRDefault="002C49E6" w:rsidP="002C49E6">
      <w:pPr>
        <w:widowControl w:val="0"/>
        <w:spacing w:after="120" w:line="240" w:lineRule="auto"/>
        <w:jc w:val="both"/>
        <w:rPr>
          <w:rFonts w:eastAsia="Calibri"/>
          <w:snapToGrid w:val="0"/>
          <w:color w:val="000000"/>
          <w:sz w:val="20"/>
          <w:szCs w:val="20"/>
          <w:lang w:val="en-US" w:eastAsia="ja-JP" w:bidi="en-US"/>
        </w:rPr>
      </w:pPr>
      <w:r w:rsidRPr="002C49E6">
        <w:rPr>
          <w:rFonts w:eastAsia="Calibri" w:hint="eastAsia"/>
          <w:snapToGrid w:val="0"/>
          <w:color w:val="000000"/>
          <w:sz w:val="20"/>
          <w:szCs w:val="20"/>
          <w:lang w:val="en-US" w:eastAsia="ja-JP" w:bidi="en-US"/>
        </w:rPr>
        <w:t xml:space="preserve">Nikulin </w:t>
      </w:r>
      <w:r w:rsidRPr="002C49E6">
        <w:rPr>
          <w:rFonts w:eastAsia="Calibri"/>
          <w:snapToGrid w:val="0"/>
          <w:color w:val="000000"/>
          <w:sz w:val="20"/>
          <w:szCs w:val="20"/>
          <w:lang w:val="en-US" w:eastAsia="ja-JP" w:bidi="en-US"/>
        </w:rPr>
        <w:t xml:space="preserve">I., Nagashima N., Yoshioka F., Sawaguchi T. (2018) Superior fatigue life of Fe–15Mn–10Cr–8Ni–4Si seismic damping alloy subjected to extremely high strain amplitudes, Materials Letters, </w:t>
      </w:r>
      <w:r w:rsidRPr="002C49E6">
        <w:rPr>
          <w:rFonts w:eastAsia="Calibri"/>
          <w:b/>
          <w:snapToGrid w:val="0"/>
          <w:color w:val="000000"/>
          <w:sz w:val="20"/>
          <w:szCs w:val="20"/>
          <w:lang w:val="en-US" w:eastAsia="ja-JP" w:bidi="en-US"/>
        </w:rPr>
        <w:t>230</w:t>
      </w:r>
      <w:r w:rsidRPr="002C49E6">
        <w:rPr>
          <w:rFonts w:eastAsia="Calibri"/>
          <w:snapToGrid w:val="0"/>
          <w:color w:val="000000"/>
          <w:sz w:val="20"/>
          <w:szCs w:val="20"/>
          <w:lang w:val="en-US" w:eastAsia="ja-JP" w:bidi="en-US"/>
        </w:rPr>
        <w:t>:257-260.</w:t>
      </w:r>
    </w:p>
    <w:p w:rsidR="002C49E6" w:rsidRPr="002C49E6" w:rsidRDefault="002C49E6" w:rsidP="002C49E6">
      <w:pPr>
        <w:widowControl w:val="0"/>
        <w:spacing w:after="0" w:line="240" w:lineRule="auto"/>
        <w:jc w:val="both"/>
        <w:rPr>
          <w:rFonts w:eastAsia="Calibri"/>
          <w:snapToGrid w:val="0"/>
          <w:color w:val="000000"/>
          <w:sz w:val="20"/>
          <w:szCs w:val="20"/>
          <w:lang w:val="en-US" w:eastAsia="en-US" w:bidi="en-US"/>
        </w:rPr>
      </w:pPr>
      <w:r w:rsidRPr="002C49E6">
        <w:rPr>
          <w:rFonts w:eastAsia="Calibri"/>
          <w:snapToGrid w:val="0"/>
          <w:color w:val="000000"/>
          <w:sz w:val="20"/>
          <w:szCs w:val="20"/>
          <w:lang w:val="en-US" w:eastAsia="en-US" w:bidi="en-US"/>
        </w:rPr>
        <w:t xml:space="preserve">Ramberg, W., &amp; Osgood, W. R. (1943). Description of stress–strain curves by three parameters. </w:t>
      </w:r>
      <w:r w:rsidRPr="002C49E6">
        <w:rPr>
          <w:rFonts w:eastAsia="Calibri"/>
          <w:i/>
          <w:iCs/>
          <w:snapToGrid w:val="0"/>
          <w:color w:val="000000"/>
          <w:sz w:val="20"/>
          <w:szCs w:val="20"/>
          <w:lang w:val="en-US" w:eastAsia="en-US" w:bidi="en-US"/>
        </w:rPr>
        <w:t>Technical Note No. 902</w:t>
      </w:r>
      <w:r w:rsidRPr="002C49E6">
        <w:rPr>
          <w:rFonts w:eastAsia="Calibri"/>
          <w:snapToGrid w:val="0"/>
          <w:color w:val="000000"/>
          <w:sz w:val="20"/>
          <w:szCs w:val="20"/>
          <w:lang w:val="en-US" w:eastAsia="en-US" w:bidi="en-US"/>
        </w:rPr>
        <w:t>, National Advisory Committee for Aeronautics, Washington DC.</w:t>
      </w:r>
    </w:p>
    <w:p w:rsidR="006B3BBD" w:rsidRPr="002C49E6" w:rsidRDefault="006B3BBD" w:rsidP="0013217D">
      <w:pPr>
        <w:spacing w:line="240" w:lineRule="auto"/>
        <w:jc w:val="both"/>
        <w:rPr>
          <w:lang w:val="en-US"/>
        </w:rPr>
      </w:pPr>
    </w:p>
    <w:sectPr w:rsidR="006B3BBD" w:rsidRPr="002C49E6" w:rsidSect="002C49E6">
      <w:headerReference w:type="default" r:id="rId27"/>
      <w:footerReference w:type="default" r:id="rId28"/>
      <w:headerReference w:type="first" r:id="rId29"/>
      <w:footerReference w:type="first" r:id="rId30"/>
      <w:pgSz w:w="11906" w:h="16838"/>
      <w:pgMar w:top="1418" w:right="1134" w:bottom="1418" w:left="1134" w:header="709" w:footer="709" w:gutter="0"/>
      <w:pgNumType w:start="32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BBB" w:rsidRDefault="00833BBB" w:rsidP="0013217D">
      <w:pPr>
        <w:spacing w:after="0" w:line="240" w:lineRule="auto"/>
      </w:pPr>
      <w:r>
        <w:separator/>
      </w:r>
    </w:p>
  </w:endnote>
  <w:endnote w:type="continuationSeparator" w:id="0">
    <w:p w:rsidR="00833BBB" w:rsidRDefault="00833BBB"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2456918"/>
      <w:docPartObj>
        <w:docPartGallery w:val="Page Numbers (Bottom of Page)"/>
        <w:docPartUnique/>
      </w:docPartObj>
    </w:sdtPr>
    <w:sdtEndPr/>
    <w:sdtContent>
      <w:p w:rsidR="002C49E6" w:rsidRDefault="002C49E6">
        <w:pPr>
          <w:pStyle w:val="a5"/>
          <w:jc w:val="center"/>
        </w:pPr>
        <w:r>
          <w:fldChar w:fldCharType="begin"/>
        </w:r>
        <w:r>
          <w:instrText>PAGE   \* MERGEFORMAT</w:instrText>
        </w:r>
        <w:r>
          <w:fldChar w:fldCharType="separate"/>
        </w:r>
        <w:r w:rsidR="009E511A">
          <w:rPr>
            <w:noProof/>
          </w:rPr>
          <w:t>331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947363"/>
      <w:docPartObj>
        <w:docPartGallery w:val="Page Numbers (Bottom of Page)"/>
        <w:docPartUnique/>
      </w:docPartObj>
    </w:sdtPr>
    <w:sdtEndPr/>
    <w:sdtContent>
      <w:p w:rsidR="002C49E6" w:rsidRDefault="002C49E6">
        <w:pPr>
          <w:pStyle w:val="a5"/>
          <w:jc w:val="center"/>
        </w:pPr>
        <w:r>
          <w:fldChar w:fldCharType="begin"/>
        </w:r>
        <w:r>
          <w:instrText>PAGE   \* MERGEFORMAT</w:instrText>
        </w:r>
        <w:r>
          <w:fldChar w:fldCharType="separate"/>
        </w:r>
        <w:r w:rsidR="009E511A">
          <w:rPr>
            <w:noProof/>
          </w:rPr>
          <w:t>324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BBB" w:rsidRDefault="00833BBB" w:rsidP="0013217D">
      <w:pPr>
        <w:spacing w:after="0" w:line="240" w:lineRule="auto"/>
      </w:pPr>
      <w:r>
        <w:separator/>
      </w:r>
    </w:p>
  </w:footnote>
  <w:footnote w:type="continuationSeparator" w:id="0">
    <w:p w:rsidR="00833BBB" w:rsidRDefault="00833BBB" w:rsidP="0013217D">
      <w:pPr>
        <w:spacing w:after="0" w:line="240" w:lineRule="auto"/>
      </w:pPr>
      <w:r>
        <w:continuationSeparator/>
      </w:r>
    </w:p>
  </w:footnote>
  <w:footnote w:id="1">
    <w:p w:rsidR="002C49E6" w:rsidRPr="002C49E6" w:rsidRDefault="002C49E6" w:rsidP="002C49E6">
      <w:pPr>
        <w:pStyle w:val="a9"/>
        <w:rPr>
          <w:lang w:val="en-US"/>
        </w:rPr>
      </w:pPr>
      <w:r>
        <w:rPr>
          <w:rStyle w:val="ad"/>
        </w:rPr>
        <w:footnoteRef/>
      </w:r>
      <w:r w:rsidRPr="002C49E6">
        <w:rPr>
          <w:lang w:val="en-US"/>
        </w:rPr>
        <w:t xml:space="preserve">Takenaka R &amp; D Institute, Takenaka Corporation, Inzai, Chiba, Japan, </w:t>
      </w:r>
      <w:r w:rsidRPr="002C49E6">
        <w:rPr>
          <w:rStyle w:val="1"/>
          <w:lang w:val="en-US"/>
        </w:rPr>
        <w:t>inoue.yasuhiko@takenaka.co.jp</w:t>
      </w:r>
      <w:r w:rsidRPr="002C49E6">
        <w:rPr>
          <w:lang w:val="en-US"/>
        </w:rPr>
        <w:t xml:space="preserve"> </w:t>
      </w:r>
    </w:p>
  </w:footnote>
  <w:footnote w:id="2">
    <w:p w:rsidR="002C49E6" w:rsidRPr="002C49E6" w:rsidRDefault="002C49E6" w:rsidP="002C49E6">
      <w:pPr>
        <w:pStyle w:val="a9"/>
        <w:rPr>
          <w:lang w:val="en-US"/>
        </w:rPr>
      </w:pPr>
      <w:r>
        <w:rPr>
          <w:rStyle w:val="ad"/>
        </w:rPr>
        <w:footnoteRef/>
      </w:r>
      <w:r w:rsidRPr="002C49E6">
        <w:rPr>
          <w:lang w:val="en-US"/>
        </w:rPr>
        <w:t xml:space="preserve">Takenaka R &amp; D Institute, Takenaka Corporation, Inzai, Chiba, Japan, </w:t>
      </w:r>
      <w:r w:rsidRPr="002C49E6">
        <w:rPr>
          <w:rStyle w:val="1"/>
          <w:lang w:val="en-US"/>
        </w:rPr>
        <w:t>kushibe.atsumichi@takenaka.co.jp</w:t>
      </w:r>
      <w:r w:rsidRPr="002C49E6">
        <w:rPr>
          <w:lang w:val="en-US"/>
        </w:rPr>
        <w:t xml:space="preserve"> </w:t>
      </w:r>
    </w:p>
  </w:footnote>
  <w:footnote w:id="3">
    <w:p w:rsidR="002C49E6" w:rsidRPr="002C49E6" w:rsidRDefault="002C49E6" w:rsidP="002C49E6">
      <w:pPr>
        <w:pStyle w:val="ab"/>
        <w:rPr>
          <w:lang w:val="en-US"/>
        </w:rPr>
      </w:pPr>
      <w:r w:rsidRPr="00320C5D">
        <w:rPr>
          <w:rStyle w:val="ad"/>
        </w:rPr>
        <w:footnoteRef/>
      </w:r>
      <w:r w:rsidRPr="002C49E6">
        <w:rPr>
          <w:lang w:val="en-US"/>
        </w:rPr>
        <w:t xml:space="preserve">National Institute for Material Science, Tsukuba, Ibaraki, Japan, </w:t>
      </w:r>
      <w:hyperlink r:id="rId1" w:history="1">
        <w:r w:rsidRPr="002C49E6">
          <w:rPr>
            <w:rStyle w:val="1"/>
            <w:lang w:val="en-US"/>
          </w:rPr>
          <w:t>sawaguchi.takahiro@</w:t>
        </w:r>
      </w:hyperlink>
      <w:r w:rsidRPr="002C49E6">
        <w:rPr>
          <w:rStyle w:val="1"/>
          <w:lang w:val="en-US"/>
        </w:rPr>
        <w:t xml:space="preserve">nims.go.jp </w:t>
      </w:r>
    </w:p>
  </w:footnote>
  <w:footnote w:id="4">
    <w:p w:rsidR="002C49E6" w:rsidRPr="002C49E6" w:rsidRDefault="002C49E6" w:rsidP="002C49E6">
      <w:pPr>
        <w:pStyle w:val="ab"/>
        <w:rPr>
          <w:lang w:val="en-US"/>
        </w:rPr>
      </w:pPr>
      <w:r w:rsidRPr="00320C5D">
        <w:rPr>
          <w:rStyle w:val="ad"/>
        </w:rPr>
        <w:footnoteRef/>
      </w:r>
      <w:r w:rsidRPr="002C49E6">
        <w:rPr>
          <w:lang w:val="en-US"/>
        </w:rPr>
        <w:t xml:space="preserve">National Institute for Material Science, Tsukuba, Ibaraki, Japan, </w:t>
      </w:r>
      <w:hyperlink r:id="rId2" w:history="1">
        <w:r w:rsidRPr="002C49E6">
          <w:rPr>
            <w:rStyle w:val="1"/>
            <w:lang w:val="en-US"/>
          </w:rPr>
          <w:t>nakamura.terumi@</w:t>
        </w:r>
      </w:hyperlink>
      <w:r w:rsidRPr="002C49E6">
        <w:rPr>
          <w:rStyle w:val="1"/>
          <w:lang w:val="en-US"/>
        </w:rPr>
        <w:t xml:space="preserve">nims.go.jp </w:t>
      </w:r>
    </w:p>
  </w:footnote>
  <w:footnote w:id="5">
    <w:p w:rsidR="002C49E6" w:rsidRPr="002C49E6" w:rsidRDefault="002C49E6" w:rsidP="002C49E6">
      <w:pPr>
        <w:pStyle w:val="ab"/>
        <w:rPr>
          <w:rStyle w:val="1"/>
          <w:lang w:val="en-US"/>
        </w:rPr>
      </w:pPr>
      <w:r>
        <w:rPr>
          <w:rStyle w:val="ad"/>
        </w:rPr>
        <w:footnoteRef/>
      </w:r>
      <w:r w:rsidRPr="002C49E6">
        <w:rPr>
          <w:lang w:val="en-US"/>
        </w:rPr>
        <w:t xml:space="preserve">Awaji Materia Co., Ltd., Chiyoda, Tokyo, Japan, </w:t>
      </w:r>
      <w:hyperlink r:id="rId3" w:history="1">
        <w:r w:rsidRPr="002C49E6">
          <w:rPr>
            <w:rStyle w:val="1"/>
            <w:lang w:val="en-US"/>
          </w:rPr>
          <w:t>h.otsuka@</w:t>
        </w:r>
      </w:hyperlink>
      <w:r w:rsidRPr="002C49E6">
        <w:rPr>
          <w:rStyle w:val="1"/>
          <w:lang w:val="en-US"/>
        </w:rPr>
        <w:t>awaji-materia.co.jp</w:t>
      </w:r>
    </w:p>
  </w:footnote>
  <w:footnote w:id="6">
    <w:p w:rsidR="002C49E6" w:rsidRPr="002C49E6" w:rsidRDefault="002C49E6" w:rsidP="002C49E6">
      <w:pPr>
        <w:pStyle w:val="ab"/>
        <w:rPr>
          <w:lang w:val="en-US"/>
        </w:rPr>
      </w:pPr>
      <w:r>
        <w:rPr>
          <w:rStyle w:val="ad"/>
        </w:rPr>
        <w:footnoteRef/>
      </w:r>
      <w:r w:rsidRPr="002C49E6">
        <w:rPr>
          <w:lang w:val="en-US"/>
        </w:rPr>
        <w:t xml:space="preserve">Awaji Materia Co., Ltd., Chiyoda, Tokyo, Japan, </w:t>
      </w:r>
      <w:hyperlink r:id="rId4" w:history="1">
        <w:r w:rsidRPr="002C49E6">
          <w:rPr>
            <w:rStyle w:val="1"/>
            <w:lang w:val="en-US"/>
          </w:rPr>
          <w:t>y.chiba@ awaji-materia.co.jp</w:t>
        </w:r>
      </w:hyperlink>
      <w:r w:rsidRPr="002C49E6">
        <w:rPr>
          <w:rStyle w:val="1"/>
          <w:lang w:val="en-US"/>
        </w:rPr>
        <w:t xml:space="preserve"> </w:t>
      </w:r>
    </w:p>
  </w:footnote>
  <w:footnote w:id="7">
    <w:p w:rsidR="002C49E6" w:rsidRPr="002C49E6" w:rsidRDefault="002C49E6" w:rsidP="002C49E6">
      <w:pPr>
        <w:pStyle w:val="a9"/>
        <w:rPr>
          <w:lang w:val="en-US"/>
        </w:rPr>
      </w:pPr>
      <w:r>
        <w:rPr>
          <w:rStyle w:val="ad"/>
        </w:rPr>
        <w:footnoteRef/>
      </w:r>
      <w:r w:rsidRPr="002C49E6">
        <w:rPr>
          <w:lang w:val="en-US"/>
        </w:rPr>
        <w:t xml:space="preserve">Building Design Department, Takenaka Corporation, Nagoya, Aichi, Japan, </w:t>
      </w:r>
      <w:hyperlink r:id="rId5" w:history="1">
        <w:r w:rsidRPr="002C49E6">
          <w:rPr>
            <w:rStyle w:val="1"/>
            <w:lang w:val="en-US"/>
          </w:rPr>
          <w:t xml:space="preserve">umemura.kenji@takenaka.co.jp </w:t>
        </w:r>
      </w:hyperlink>
      <w:r w:rsidRPr="002C49E6">
        <w:rPr>
          <w:rStyle w:val="1"/>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1DFFBE8A" wp14:editId="773D83A1">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9E6"/>
    <w:rsid w:val="000D7B9B"/>
    <w:rsid w:val="0013217D"/>
    <w:rsid w:val="00254B4D"/>
    <w:rsid w:val="002C49E6"/>
    <w:rsid w:val="006323CD"/>
    <w:rsid w:val="006B3BBD"/>
    <w:rsid w:val="00833BBB"/>
    <w:rsid w:val="0092552E"/>
    <w:rsid w:val="009267EB"/>
    <w:rsid w:val="009E511A"/>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2C49E6"/>
    <w:pPr>
      <w:spacing w:after="0" w:line="240" w:lineRule="auto"/>
    </w:pPr>
    <w:rPr>
      <w:sz w:val="20"/>
      <w:szCs w:val="20"/>
    </w:rPr>
  </w:style>
  <w:style w:type="character" w:customStyle="1" w:styleId="aa">
    <w:name w:val="Текст концевой сноски Знак"/>
    <w:basedOn w:val="a0"/>
    <w:link w:val="a9"/>
    <w:uiPriority w:val="99"/>
    <w:semiHidden/>
    <w:rsid w:val="002C49E6"/>
    <w:rPr>
      <w:sz w:val="20"/>
      <w:szCs w:val="20"/>
    </w:rPr>
  </w:style>
  <w:style w:type="paragraph" w:styleId="ab">
    <w:name w:val="footnote text"/>
    <w:basedOn w:val="a"/>
    <w:link w:val="ac"/>
    <w:uiPriority w:val="99"/>
    <w:semiHidden/>
    <w:unhideWhenUsed/>
    <w:rsid w:val="002C49E6"/>
    <w:pPr>
      <w:spacing w:after="0" w:line="240" w:lineRule="auto"/>
    </w:pPr>
    <w:rPr>
      <w:sz w:val="20"/>
      <w:szCs w:val="20"/>
    </w:rPr>
  </w:style>
  <w:style w:type="character" w:customStyle="1" w:styleId="ac">
    <w:name w:val="Текст сноски Знак"/>
    <w:basedOn w:val="a0"/>
    <w:link w:val="ab"/>
    <w:uiPriority w:val="99"/>
    <w:semiHidden/>
    <w:rsid w:val="002C49E6"/>
    <w:rPr>
      <w:sz w:val="20"/>
      <w:szCs w:val="20"/>
    </w:rPr>
  </w:style>
  <w:style w:type="character" w:customStyle="1" w:styleId="1">
    <w:name w:val="Гиперссылка1"/>
    <w:basedOn w:val="a0"/>
    <w:rsid w:val="002C49E6"/>
    <w:rPr>
      <w:rFonts w:ascii="Times New Roman" w:hAnsi="Times New Roman"/>
      <w:color w:val="0563C1"/>
      <w:sz w:val="22"/>
      <w:u w:val="single"/>
    </w:rPr>
  </w:style>
  <w:style w:type="character" w:styleId="ad">
    <w:name w:val="footnote reference"/>
    <w:basedOn w:val="a0"/>
    <w:semiHidden/>
    <w:rsid w:val="002C49E6"/>
    <w:rPr>
      <w:rFonts w:ascii="Times New Roman" w:hAnsi="Times New Roman"/>
      <w:sz w:val="22"/>
      <w:vertAlign w:val="superscript"/>
    </w:rPr>
  </w:style>
  <w:style w:type="character" w:styleId="ae">
    <w:name w:val="Hyperlink"/>
    <w:basedOn w:val="a0"/>
    <w:uiPriority w:val="99"/>
    <w:semiHidden/>
    <w:unhideWhenUsed/>
    <w:rsid w:val="002C49E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2C49E6"/>
    <w:pPr>
      <w:spacing w:after="0" w:line="240" w:lineRule="auto"/>
    </w:pPr>
    <w:rPr>
      <w:sz w:val="20"/>
      <w:szCs w:val="20"/>
    </w:rPr>
  </w:style>
  <w:style w:type="character" w:customStyle="1" w:styleId="aa">
    <w:name w:val="Текст концевой сноски Знак"/>
    <w:basedOn w:val="a0"/>
    <w:link w:val="a9"/>
    <w:uiPriority w:val="99"/>
    <w:semiHidden/>
    <w:rsid w:val="002C49E6"/>
    <w:rPr>
      <w:sz w:val="20"/>
      <w:szCs w:val="20"/>
    </w:rPr>
  </w:style>
  <w:style w:type="paragraph" w:styleId="ab">
    <w:name w:val="footnote text"/>
    <w:basedOn w:val="a"/>
    <w:link w:val="ac"/>
    <w:uiPriority w:val="99"/>
    <w:semiHidden/>
    <w:unhideWhenUsed/>
    <w:rsid w:val="002C49E6"/>
    <w:pPr>
      <w:spacing w:after="0" w:line="240" w:lineRule="auto"/>
    </w:pPr>
    <w:rPr>
      <w:sz w:val="20"/>
      <w:szCs w:val="20"/>
    </w:rPr>
  </w:style>
  <w:style w:type="character" w:customStyle="1" w:styleId="ac">
    <w:name w:val="Текст сноски Знак"/>
    <w:basedOn w:val="a0"/>
    <w:link w:val="ab"/>
    <w:uiPriority w:val="99"/>
    <w:semiHidden/>
    <w:rsid w:val="002C49E6"/>
    <w:rPr>
      <w:sz w:val="20"/>
      <w:szCs w:val="20"/>
    </w:rPr>
  </w:style>
  <w:style w:type="character" w:customStyle="1" w:styleId="1">
    <w:name w:val="Гиперссылка1"/>
    <w:basedOn w:val="a0"/>
    <w:rsid w:val="002C49E6"/>
    <w:rPr>
      <w:rFonts w:ascii="Times New Roman" w:hAnsi="Times New Roman"/>
      <w:color w:val="0563C1"/>
      <w:sz w:val="22"/>
      <w:u w:val="single"/>
    </w:rPr>
  </w:style>
  <w:style w:type="character" w:styleId="ad">
    <w:name w:val="footnote reference"/>
    <w:basedOn w:val="a0"/>
    <w:semiHidden/>
    <w:rsid w:val="002C49E6"/>
    <w:rPr>
      <w:rFonts w:ascii="Times New Roman" w:hAnsi="Times New Roman"/>
      <w:sz w:val="22"/>
      <w:vertAlign w:val="superscript"/>
    </w:rPr>
  </w:style>
  <w:style w:type="character" w:styleId="ae">
    <w:name w:val="Hyperlink"/>
    <w:basedOn w:val="a0"/>
    <w:uiPriority w:val="99"/>
    <w:semiHidden/>
    <w:unhideWhenUsed/>
    <w:rsid w:val="002C49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mailto:h.otsuka@" TargetMode="External"/><Relationship Id="rId2" Type="http://schemas.openxmlformats.org/officeDocument/2006/relationships/hyperlink" Target="mailto:nakamura.terumi@" TargetMode="External"/><Relationship Id="rId1" Type="http://schemas.openxmlformats.org/officeDocument/2006/relationships/hyperlink" Target="mailto:sawaguchi.takahiro@" TargetMode="External"/><Relationship Id="rId5" Type="http://schemas.openxmlformats.org/officeDocument/2006/relationships/hyperlink" Target="mailto:umemura.kenji@takenaka.co.jp%20" TargetMode="External"/><Relationship Id="rId4" Type="http://schemas.openxmlformats.org/officeDocument/2006/relationships/hyperlink" Target="mailto:y.chiba@%20awaji-materia.co.j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1</TotalTime>
  <Pages>8</Pages>
  <Words>2029</Words>
  <Characters>11569</Characters>
  <Application>Microsoft Office Word</Application>
  <DocSecurity>0</DocSecurity>
  <Lines>96</Lines>
  <Paragraphs>27</Paragraphs>
  <ScaleCrop>false</ScaleCrop>
  <Company>diakov.net</Company>
  <LinksUpToDate>false</LinksUpToDate>
  <CharactersWithSpaces>13571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2020-06-28T09:59:00Z</dcterms:created>
  <dcterms:modified xsi:type="dcterms:W3CDTF">2021-05-12T15:14:00Z</dcterms:modified>
</cp:coreProperties>
</file>