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B5A" w:rsidRPr="00BC4B5A" w:rsidRDefault="00BC4B5A" w:rsidP="00BC4B5A">
      <w:pPr>
        <w:widowControl w:val="0"/>
        <w:spacing w:after="0" w:line="240" w:lineRule="auto"/>
        <w:jc w:val="center"/>
        <w:outlineLvl w:val="0"/>
        <w:rPr>
          <w:rFonts w:eastAsia="Times New Roman"/>
          <w:b/>
          <w:caps/>
          <w:snapToGrid w:val="0"/>
          <w:sz w:val="28"/>
          <w:szCs w:val="24"/>
          <w:lang w:val="en-US" w:eastAsia="ja-JP"/>
        </w:rPr>
      </w:pPr>
      <w:bookmarkStart w:id="0" w:name="_GoBack"/>
      <w:bookmarkEnd w:id="0"/>
    </w:p>
    <w:p w:rsidR="00BC4B5A" w:rsidRPr="00BC4B5A" w:rsidRDefault="00BC4B5A" w:rsidP="00BC4B5A">
      <w:pPr>
        <w:widowControl w:val="0"/>
        <w:spacing w:after="0" w:line="240" w:lineRule="auto"/>
        <w:jc w:val="center"/>
        <w:outlineLvl w:val="0"/>
        <w:rPr>
          <w:rFonts w:eastAsia="Times New Roman"/>
          <w:b/>
          <w:caps/>
          <w:snapToGrid w:val="0"/>
          <w:sz w:val="28"/>
          <w:szCs w:val="24"/>
          <w:lang w:val="en-US" w:eastAsia="ja-JP"/>
        </w:rPr>
      </w:pPr>
    </w:p>
    <w:p w:rsidR="00BC4B5A" w:rsidRPr="00BC4B5A" w:rsidRDefault="00BC4B5A" w:rsidP="00BC4B5A">
      <w:pPr>
        <w:widowControl w:val="0"/>
        <w:spacing w:after="0" w:line="240" w:lineRule="auto"/>
        <w:jc w:val="center"/>
        <w:outlineLvl w:val="0"/>
        <w:rPr>
          <w:rFonts w:eastAsia="Times New Roman"/>
          <w:b/>
          <w:caps/>
          <w:snapToGrid w:val="0"/>
          <w:sz w:val="28"/>
          <w:szCs w:val="24"/>
          <w:lang w:val="en-US" w:eastAsia="ja-JP"/>
        </w:rPr>
      </w:pPr>
      <w:r w:rsidRPr="00BC4B5A">
        <w:rPr>
          <w:rFonts w:eastAsia="Times New Roman"/>
          <w:b/>
          <w:caps/>
          <w:snapToGrid w:val="0"/>
          <w:sz w:val="28"/>
          <w:szCs w:val="24"/>
          <w:lang w:val="en-US" w:eastAsia="ja-JP"/>
        </w:rPr>
        <w:t>THE NEW GENERATION EARTHQUAKE ISOLATION –</w:t>
      </w:r>
      <w:r w:rsidRPr="00BC4B5A">
        <w:rPr>
          <w:rFonts w:eastAsia="Times New Roman"/>
          <w:b/>
          <w:caps/>
          <w:snapToGrid w:val="0"/>
          <w:sz w:val="28"/>
          <w:szCs w:val="24"/>
          <w:lang w:val="en-US" w:eastAsia="ja-JP"/>
        </w:rPr>
        <w:br/>
        <w:t xml:space="preserve">A BREAKTHROUGH IN PERFORMANCE </w:t>
      </w:r>
    </w:p>
    <w:p w:rsidR="00BC4B5A" w:rsidRPr="00BC4B5A" w:rsidRDefault="00BC4B5A" w:rsidP="00BC4B5A">
      <w:pPr>
        <w:widowControl w:val="0"/>
        <w:spacing w:after="0" w:line="240" w:lineRule="auto"/>
        <w:jc w:val="both"/>
        <w:rPr>
          <w:rFonts w:eastAsia="Times New Roman"/>
          <w:snapToGrid w:val="0"/>
          <w:szCs w:val="24"/>
          <w:lang w:val="en-US" w:eastAsia="ja-JP"/>
        </w:rPr>
      </w:pPr>
    </w:p>
    <w:p w:rsidR="00BC4B5A" w:rsidRPr="00BC4B5A" w:rsidRDefault="00BC4B5A" w:rsidP="00BC4B5A">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BC4B5A">
        <w:rPr>
          <w:rFonts w:eastAsia="Times New Roman"/>
          <w:b/>
          <w:snapToGrid w:val="0"/>
          <w:color w:val="333333"/>
          <w:sz w:val="28"/>
          <w:szCs w:val="28"/>
          <w:shd w:val="clear" w:color="auto" w:fill="FFFFFF"/>
          <w:lang w:val="en-US" w:eastAsia="en-US"/>
        </w:rPr>
        <w:t xml:space="preserve">DOI </w:t>
      </w:r>
      <w:r w:rsidR="004F662B">
        <w:rPr>
          <w:rFonts w:eastAsia="Times New Roman"/>
          <w:b/>
          <w:snapToGrid w:val="0"/>
          <w:color w:val="333333"/>
          <w:sz w:val="28"/>
          <w:szCs w:val="28"/>
          <w:shd w:val="clear" w:color="auto" w:fill="FFFFFF"/>
          <w:lang w:val="en-US" w:eastAsia="en-US"/>
        </w:rPr>
        <w:t>10.37153</w:t>
      </w:r>
      <w:r w:rsidRPr="00BC4B5A">
        <w:rPr>
          <w:rFonts w:eastAsia="Times New Roman"/>
          <w:b/>
          <w:snapToGrid w:val="0"/>
          <w:color w:val="333333"/>
          <w:sz w:val="28"/>
          <w:szCs w:val="28"/>
          <w:shd w:val="clear" w:color="auto" w:fill="FFFFFF"/>
          <w:lang w:val="en-US" w:eastAsia="en-US"/>
        </w:rPr>
        <w:t>/2686-7974-2019-16-257-266</w:t>
      </w:r>
    </w:p>
    <w:p w:rsidR="00BC4B5A" w:rsidRPr="00BC4B5A" w:rsidRDefault="00BC4B5A" w:rsidP="00BC4B5A">
      <w:pPr>
        <w:widowControl w:val="0"/>
        <w:spacing w:after="0" w:line="240" w:lineRule="auto"/>
        <w:jc w:val="both"/>
        <w:rPr>
          <w:rFonts w:eastAsia="Times New Roman"/>
          <w:snapToGrid w:val="0"/>
          <w:szCs w:val="24"/>
          <w:lang w:val="en-US" w:eastAsia="ja-JP"/>
        </w:rPr>
      </w:pPr>
    </w:p>
    <w:p w:rsidR="00BC4B5A" w:rsidRPr="00BC4B5A" w:rsidRDefault="00BC4B5A" w:rsidP="00BC4B5A">
      <w:pPr>
        <w:widowControl w:val="0"/>
        <w:spacing w:after="0" w:line="240" w:lineRule="auto"/>
        <w:jc w:val="both"/>
        <w:rPr>
          <w:rFonts w:eastAsia="Times New Roman"/>
          <w:snapToGrid w:val="0"/>
          <w:szCs w:val="24"/>
          <w:lang w:val="en-US" w:eastAsia="ja-JP"/>
        </w:rPr>
      </w:pPr>
    </w:p>
    <w:p w:rsidR="00BC4B5A" w:rsidRPr="00BC4B5A" w:rsidRDefault="00BC4B5A" w:rsidP="00BC4B5A">
      <w:pPr>
        <w:widowControl w:val="0"/>
        <w:tabs>
          <w:tab w:val="left" w:pos="0"/>
        </w:tabs>
        <w:suppressAutoHyphens/>
        <w:spacing w:after="0" w:line="240" w:lineRule="auto"/>
        <w:jc w:val="center"/>
        <w:rPr>
          <w:rFonts w:eastAsia="Times New Roman"/>
          <w:szCs w:val="24"/>
          <w:vertAlign w:val="superscript"/>
          <w:lang w:val="en-US" w:eastAsia="en-US"/>
        </w:rPr>
      </w:pPr>
      <w:r w:rsidRPr="00BC4B5A">
        <w:rPr>
          <w:rFonts w:eastAsia="Times New Roman"/>
          <w:szCs w:val="24"/>
          <w:lang w:val="en-US" w:eastAsia="ja-JP"/>
        </w:rPr>
        <w:t>M. Bek</w:t>
      </w:r>
      <w:r w:rsidRPr="00BC4B5A">
        <w:rPr>
          <w:rFonts w:eastAsia="Times New Roman"/>
          <w:szCs w:val="24"/>
          <w:vertAlign w:val="superscript"/>
          <w:lang w:val="en-US" w:eastAsia="ja-JP"/>
        </w:rPr>
        <w:footnoteReference w:id="1"/>
      </w:r>
      <w:r w:rsidRPr="00BC4B5A">
        <w:rPr>
          <w:rFonts w:eastAsia="Times New Roman"/>
          <w:szCs w:val="24"/>
          <w:lang w:val="en-US" w:eastAsia="ja-JP"/>
        </w:rPr>
        <w:t>, B. von Bernstorff</w:t>
      </w:r>
      <w:r w:rsidRPr="00BC4B5A">
        <w:rPr>
          <w:rFonts w:eastAsia="Times New Roman"/>
          <w:szCs w:val="24"/>
          <w:vertAlign w:val="superscript"/>
          <w:lang w:val="en-US" w:eastAsia="ja-JP"/>
        </w:rPr>
        <w:footnoteReference w:id="2"/>
      </w:r>
      <w:r w:rsidRPr="00BC4B5A">
        <w:rPr>
          <w:rFonts w:eastAsia="Times New Roman"/>
          <w:szCs w:val="24"/>
          <w:lang w:val="en-US" w:eastAsia="ja-JP"/>
        </w:rPr>
        <w:t>, I. Emri</w:t>
      </w:r>
      <w:r w:rsidRPr="00BC4B5A">
        <w:rPr>
          <w:rFonts w:eastAsia="Times New Roman"/>
          <w:szCs w:val="24"/>
          <w:vertAlign w:val="superscript"/>
          <w:lang w:val="en-US" w:eastAsia="ja-JP"/>
        </w:rPr>
        <w:footnoteReference w:id="3"/>
      </w:r>
      <w:r w:rsidRPr="00BC4B5A">
        <w:rPr>
          <w:rFonts w:eastAsia="Times New Roman"/>
          <w:szCs w:val="24"/>
          <w:lang w:val="en-US" w:eastAsia="ja-JP"/>
        </w:rPr>
        <w:t>, and B. V. Gusev</w:t>
      </w:r>
      <w:r w:rsidRPr="00BC4B5A">
        <w:rPr>
          <w:rFonts w:eastAsia="Times New Roman"/>
          <w:szCs w:val="24"/>
          <w:vertAlign w:val="superscript"/>
          <w:lang w:val="en-US" w:eastAsia="ja-JP"/>
        </w:rPr>
        <w:footnoteReference w:id="4"/>
      </w:r>
      <w:r w:rsidRPr="00BC4B5A">
        <w:rPr>
          <w:rFonts w:eastAsia="Times New Roman"/>
          <w:szCs w:val="24"/>
          <w:lang w:val="en-US" w:eastAsia="ja-JP"/>
        </w:rPr>
        <w:t>, Y.L.Yin</w:t>
      </w:r>
      <w:r w:rsidRPr="00BC4B5A">
        <w:rPr>
          <w:rFonts w:eastAsia="Times New Roman"/>
          <w:szCs w:val="24"/>
          <w:vertAlign w:val="superscript"/>
          <w:lang w:val="en-US" w:eastAsia="ja-JP"/>
        </w:rPr>
        <w:footnoteReference w:id="5"/>
      </w:r>
      <w:r w:rsidRPr="00BC4B5A">
        <w:rPr>
          <w:rFonts w:eastAsia="Times New Roman"/>
          <w:szCs w:val="24"/>
          <w:lang w:val="en-US" w:eastAsia="ja-JP"/>
        </w:rPr>
        <w:t>, K.C. Chang</w:t>
      </w:r>
      <w:r w:rsidRPr="00BC4B5A">
        <w:rPr>
          <w:rFonts w:eastAsia="Times New Roman"/>
          <w:szCs w:val="24"/>
          <w:vertAlign w:val="superscript"/>
          <w:lang w:val="en-US" w:eastAsia="ja-JP"/>
        </w:rPr>
        <w:footnoteReference w:id="6"/>
      </w:r>
    </w:p>
    <w:p w:rsidR="00BC4B5A" w:rsidRPr="00BC4B5A" w:rsidRDefault="00BC4B5A" w:rsidP="00BC4B5A">
      <w:pPr>
        <w:widowControl w:val="0"/>
        <w:tabs>
          <w:tab w:val="center" w:pos="4695"/>
        </w:tabs>
        <w:suppressAutoHyphens/>
        <w:spacing w:after="0" w:line="240" w:lineRule="auto"/>
        <w:jc w:val="both"/>
        <w:rPr>
          <w:rFonts w:eastAsia="Times New Roman"/>
          <w:snapToGrid w:val="0"/>
          <w:szCs w:val="24"/>
          <w:lang w:val="en-US" w:eastAsia="ja-JP"/>
        </w:rPr>
      </w:pPr>
    </w:p>
    <w:p w:rsidR="00BC4B5A" w:rsidRPr="00BC4B5A" w:rsidRDefault="00BC4B5A" w:rsidP="00BC4B5A">
      <w:pPr>
        <w:widowControl w:val="0"/>
        <w:spacing w:after="0" w:line="240" w:lineRule="auto"/>
        <w:jc w:val="center"/>
        <w:outlineLvl w:val="0"/>
        <w:rPr>
          <w:rFonts w:eastAsia="Times New Roman"/>
          <w:b/>
          <w:caps/>
          <w:snapToGrid w:val="0"/>
          <w:kern w:val="28"/>
          <w:szCs w:val="24"/>
          <w:lang w:val="en-US" w:eastAsia="ja-JP"/>
        </w:rPr>
      </w:pPr>
      <w:r w:rsidRPr="00BC4B5A">
        <w:rPr>
          <w:rFonts w:eastAsia="Times New Roman"/>
          <w:b/>
          <w:caps/>
          <w:snapToGrid w:val="0"/>
          <w:kern w:val="28"/>
          <w:szCs w:val="24"/>
          <w:lang w:val="en-US" w:eastAsia="en-US"/>
        </w:rPr>
        <w:t>Abstract</w:t>
      </w:r>
    </w:p>
    <w:p w:rsidR="00BC4B5A" w:rsidRPr="00BC4B5A" w:rsidRDefault="00BC4B5A" w:rsidP="00BC4B5A">
      <w:pPr>
        <w:widowControl w:val="0"/>
        <w:suppressAutoHyphens/>
        <w:spacing w:after="0" w:line="240" w:lineRule="auto"/>
        <w:jc w:val="both"/>
        <w:rPr>
          <w:rFonts w:eastAsia="Times New Roman"/>
          <w:sz w:val="20"/>
          <w:szCs w:val="24"/>
          <w:lang w:val="en-US" w:eastAsia="en-US"/>
        </w:rPr>
      </w:pPr>
    </w:p>
    <w:p w:rsidR="00BC4B5A" w:rsidRPr="00BC4B5A" w:rsidRDefault="00BC4B5A" w:rsidP="00BC4B5A">
      <w:pPr>
        <w:widowControl w:val="0"/>
        <w:suppressAutoHyphens/>
        <w:spacing w:after="0" w:line="240" w:lineRule="auto"/>
        <w:jc w:val="both"/>
        <w:rPr>
          <w:rFonts w:eastAsia="Times New Roman"/>
          <w:sz w:val="20"/>
          <w:szCs w:val="24"/>
          <w:lang w:val="en-US" w:eastAsia="ja-JP"/>
        </w:rPr>
      </w:pPr>
      <w:r w:rsidRPr="00BC4B5A">
        <w:rPr>
          <w:rFonts w:eastAsia="Times New Roman"/>
          <w:sz w:val="20"/>
          <w:szCs w:val="24"/>
          <w:lang w:val="en-US" w:eastAsia="en-US"/>
        </w:rPr>
        <w:t xml:space="preserve">In this paper, we demonstrate performance of the new generation vibration isolation based on the patented </w:t>
      </w:r>
      <w:r w:rsidRPr="00BC4B5A">
        <w:rPr>
          <w:rFonts w:eastAsia="Times New Roman"/>
          <w:i/>
          <w:sz w:val="20"/>
          <w:szCs w:val="24"/>
          <w:lang w:val="en-US" w:eastAsia="en-US"/>
        </w:rPr>
        <w:t>Dissipative bulk and granular systems technology</w:t>
      </w:r>
      <w:r w:rsidRPr="00BC4B5A">
        <w:rPr>
          <w:rFonts w:eastAsia="Times New Roman"/>
          <w:sz w:val="20"/>
          <w:szCs w:val="24"/>
          <w:lang w:val="en-US" w:eastAsia="en-US"/>
        </w:rPr>
        <w:t>. This technology uses</w:t>
      </w:r>
      <w:r w:rsidRPr="00BC4B5A">
        <w:rPr>
          <w:rFonts w:eastAsia="Times New Roman"/>
          <w:spacing w:val="29"/>
          <w:w w:val="91"/>
          <w:sz w:val="20"/>
          <w:szCs w:val="24"/>
          <w:lang w:val="en-US" w:eastAsia="en-US"/>
        </w:rPr>
        <w:t xml:space="preserve"> </w:t>
      </w:r>
      <w:r w:rsidRPr="00BC4B5A">
        <w:rPr>
          <w:rFonts w:eastAsia="Times New Roman"/>
          <w:sz w:val="20"/>
          <w:szCs w:val="24"/>
          <w:lang w:val="en-US" w:eastAsia="en-US"/>
        </w:rPr>
        <w:t>polymeric</w:t>
      </w:r>
      <w:r w:rsidRPr="00BC4B5A">
        <w:rPr>
          <w:rFonts w:eastAsia="Times New Roman"/>
          <w:spacing w:val="-6"/>
          <w:sz w:val="20"/>
          <w:szCs w:val="24"/>
          <w:lang w:val="en-US" w:eastAsia="en-US"/>
        </w:rPr>
        <w:t xml:space="preserve"> </w:t>
      </w:r>
      <w:r w:rsidRPr="00BC4B5A">
        <w:rPr>
          <w:rFonts w:eastAsia="Times New Roman"/>
          <w:sz w:val="20"/>
          <w:szCs w:val="24"/>
          <w:lang w:val="en-US" w:eastAsia="en-US"/>
        </w:rPr>
        <w:t>materials</w:t>
      </w:r>
      <w:r w:rsidRPr="00BC4B5A">
        <w:rPr>
          <w:rFonts w:eastAsia="Times New Roman"/>
          <w:spacing w:val="-5"/>
          <w:sz w:val="20"/>
          <w:szCs w:val="24"/>
          <w:lang w:val="en-US" w:eastAsia="en-US"/>
        </w:rPr>
        <w:t xml:space="preserve"> </w:t>
      </w:r>
      <w:r w:rsidRPr="00BC4B5A">
        <w:rPr>
          <w:rFonts w:eastAsia="Times New Roman"/>
          <w:sz w:val="20"/>
          <w:szCs w:val="24"/>
          <w:lang w:val="en-US" w:eastAsia="en-US"/>
        </w:rPr>
        <w:t>in</w:t>
      </w:r>
      <w:r w:rsidRPr="00BC4B5A">
        <w:rPr>
          <w:rFonts w:eastAsia="Times New Roman"/>
          <w:spacing w:val="-5"/>
          <w:sz w:val="20"/>
          <w:szCs w:val="24"/>
          <w:lang w:val="en-US" w:eastAsia="en-US"/>
        </w:rPr>
        <w:t xml:space="preserve"> </w:t>
      </w:r>
      <w:r w:rsidRPr="00BC4B5A">
        <w:rPr>
          <w:rFonts w:eastAsia="Times New Roman"/>
          <w:spacing w:val="-2"/>
          <w:sz w:val="20"/>
          <w:szCs w:val="24"/>
          <w:lang w:val="en-US" w:eastAsia="en-US"/>
        </w:rPr>
        <w:t>granular</w:t>
      </w:r>
      <w:r w:rsidRPr="00BC4B5A">
        <w:rPr>
          <w:rFonts w:eastAsia="Times New Roman"/>
          <w:spacing w:val="-5"/>
          <w:sz w:val="20"/>
          <w:szCs w:val="24"/>
          <w:lang w:val="en-US" w:eastAsia="en-US"/>
        </w:rPr>
        <w:t xml:space="preserve"> </w:t>
      </w:r>
      <w:r w:rsidRPr="00BC4B5A">
        <w:rPr>
          <w:rFonts w:eastAsia="Times New Roman"/>
          <w:sz w:val="20"/>
          <w:szCs w:val="24"/>
          <w:lang w:val="en-US" w:eastAsia="en-US"/>
        </w:rPr>
        <w:t>form</w:t>
      </w:r>
      <w:r w:rsidRPr="00BC4B5A">
        <w:rPr>
          <w:rFonts w:eastAsia="Times New Roman"/>
          <w:spacing w:val="-4"/>
          <w:sz w:val="20"/>
          <w:szCs w:val="24"/>
          <w:lang w:val="en-US" w:eastAsia="en-US"/>
        </w:rPr>
        <w:t xml:space="preserve"> </w:t>
      </w:r>
      <w:r w:rsidRPr="00BC4B5A">
        <w:rPr>
          <w:rFonts w:eastAsia="Times New Roman"/>
          <w:sz w:val="20"/>
          <w:szCs w:val="24"/>
          <w:lang w:val="en-US" w:eastAsia="en-US"/>
        </w:rPr>
        <w:t>to</w:t>
      </w:r>
      <w:r w:rsidRPr="00BC4B5A">
        <w:rPr>
          <w:rFonts w:eastAsia="Times New Roman"/>
          <w:spacing w:val="-5"/>
          <w:sz w:val="20"/>
          <w:szCs w:val="24"/>
          <w:lang w:val="en-US" w:eastAsia="en-US"/>
        </w:rPr>
        <w:t xml:space="preserve"> </w:t>
      </w:r>
      <w:r w:rsidRPr="00BC4B5A">
        <w:rPr>
          <w:rFonts w:eastAsia="Times New Roman"/>
          <w:spacing w:val="-2"/>
          <w:sz w:val="20"/>
          <w:szCs w:val="24"/>
          <w:lang w:val="en-US" w:eastAsia="en-US"/>
        </w:rPr>
        <w:t>enhance</w:t>
      </w:r>
      <w:r w:rsidRPr="00BC4B5A">
        <w:rPr>
          <w:rFonts w:eastAsia="Times New Roman"/>
          <w:spacing w:val="-5"/>
          <w:sz w:val="20"/>
          <w:szCs w:val="24"/>
          <w:lang w:val="en-US" w:eastAsia="en-US"/>
        </w:rPr>
        <w:t xml:space="preserve"> </w:t>
      </w:r>
      <w:r w:rsidRPr="00BC4B5A">
        <w:rPr>
          <w:rFonts w:eastAsia="Times New Roman"/>
          <w:sz w:val="20"/>
          <w:szCs w:val="24"/>
          <w:lang w:val="en-US" w:eastAsia="en-US"/>
        </w:rPr>
        <w:t>their</w:t>
      </w:r>
      <w:r w:rsidRPr="00BC4B5A">
        <w:rPr>
          <w:rFonts w:eastAsia="Times New Roman"/>
          <w:spacing w:val="-5"/>
          <w:sz w:val="20"/>
          <w:szCs w:val="24"/>
          <w:lang w:val="en-US" w:eastAsia="en-US"/>
        </w:rPr>
        <w:t xml:space="preserve"> </w:t>
      </w:r>
      <w:r w:rsidRPr="00BC4B5A">
        <w:rPr>
          <w:rFonts w:eastAsia="Times New Roman"/>
          <w:sz w:val="20"/>
          <w:szCs w:val="24"/>
          <w:lang w:val="en-US" w:eastAsia="en-US"/>
        </w:rPr>
        <w:t>dynamic</w:t>
      </w:r>
      <w:r w:rsidRPr="00BC4B5A">
        <w:rPr>
          <w:rFonts w:eastAsia="Times New Roman"/>
          <w:spacing w:val="-5"/>
          <w:sz w:val="20"/>
          <w:szCs w:val="24"/>
          <w:lang w:val="en-US" w:eastAsia="en-US"/>
        </w:rPr>
        <w:t xml:space="preserve"> </w:t>
      </w:r>
      <w:r w:rsidRPr="00BC4B5A">
        <w:rPr>
          <w:rFonts w:eastAsia="Times New Roman"/>
          <w:sz w:val="20"/>
          <w:szCs w:val="24"/>
          <w:lang w:val="en-US" w:eastAsia="en-US"/>
        </w:rPr>
        <w:t>properties by exposing them to “self-pressurization”, which shifts material energy absorptions maximum towards lower frequencies, to match the excitation frequency and/or rate of dynamic loading to which a mechanical system is exposed. In the case of TPU materials</w:t>
      </w:r>
      <w:r w:rsidRPr="00BC4B5A">
        <w:rPr>
          <w:rFonts w:eastAsia="Times New Roman"/>
          <w:spacing w:val="-2"/>
          <w:sz w:val="20"/>
          <w:szCs w:val="24"/>
          <w:lang w:val="en-US" w:eastAsia="en-US"/>
        </w:rPr>
        <w:t xml:space="preserve"> </w:t>
      </w:r>
      <w:r w:rsidRPr="00BC4B5A">
        <w:rPr>
          <w:rFonts w:eastAsia="Times New Roman"/>
          <w:sz w:val="20"/>
          <w:szCs w:val="24"/>
          <w:lang w:val="en-US" w:eastAsia="en-US"/>
        </w:rPr>
        <w:t>the stiffness and energy absorption capability of an isolation may be increased between 10 to 100 times.</w:t>
      </w:r>
    </w:p>
    <w:p w:rsidR="00BC4B5A" w:rsidRPr="00BC4B5A" w:rsidRDefault="00BC4B5A" w:rsidP="00BC4B5A">
      <w:pPr>
        <w:widowControl w:val="0"/>
        <w:suppressAutoHyphens/>
        <w:spacing w:after="0" w:line="240" w:lineRule="auto"/>
        <w:jc w:val="both"/>
        <w:rPr>
          <w:rFonts w:eastAsia="MS Mincho"/>
          <w:sz w:val="20"/>
          <w:szCs w:val="24"/>
          <w:lang w:val="en-US" w:eastAsia="ja-JP"/>
        </w:rPr>
      </w:pPr>
    </w:p>
    <w:p w:rsidR="00BC4B5A" w:rsidRPr="00BC4B5A" w:rsidRDefault="00BC4B5A" w:rsidP="00BC4B5A">
      <w:pPr>
        <w:widowControl w:val="0"/>
        <w:suppressAutoHyphens/>
        <w:spacing w:after="0" w:line="240" w:lineRule="auto"/>
        <w:jc w:val="both"/>
        <w:rPr>
          <w:rFonts w:eastAsia="Times New Roman"/>
          <w:i/>
          <w:sz w:val="20"/>
          <w:szCs w:val="24"/>
          <w:lang w:val="en-US" w:eastAsia="ja-JP"/>
        </w:rPr>
      </w:pPr>
      <w:r w:rsidRPr="00BC4B5A">
        <w:rPr>
          <w:rFonts w:eastAsia="Times New Roman"/>
          <w:i/>
          <w:sz w:val="20"/>
          <w:szCs w:val="24"/>
          <w:lang w:val="en-US" w:eastAsia="ja-JP"/>
        </w:rPr>
        <w:t xml:space="preserve">Keywords: Vibration-isolation, Impact-isolation, Granular viscoelastic materials, Energy dissipation, Effect of pressure </w:t>
      </w:r>
    </w:p>
    <w:p w:rsidR="00BC4B5A" w:rsidRPr="00BC4B5A" w:rsidRDefault="00BC4B5A" w:rsidP="00BC4B5A">
      <w:pPr>
        <w:widowControl w:val="0"/>
        <w:spacing w:after="0" w:line="240" w:lineRule="auto"/>
        <w:jc w:val="both"/>
        <w:rPr>
          <w:rFonts w:eastAsia="Times New Roman"/>
          <w:snapToGrid w:val="0"/>
          <w:szCs w:val="24"/>
          <w:lang w:val="en-US" w:eastAsia="ja-JP"/>
        </w:rPr>
      </w:pPr>
    </w:p>
    <w:p w:rsidR="00BC4B5A" w:rsidRPr="00BC4B5A" w:rsidRDefault="00BC4B5A" w:rsidP="00BC4B5A">
      <w:pPr>
        <w:widowControl w:val="0"/>
        <w:spacing w:after="0" w:line="240" w:lineRule="auto"/>
        <w:jc w:val="both"/>
        <w:rPr>
          <w:rFonts w:eastAsia="Times New Roman"/>
          <w:snapToGrid w:val="0"/>
          <w:szCs w:val="24"/>
          <w:lang w:val="en-US" w:eastAsia="ja-JP"/>
        </w:rPr>
      </w:pPr>
    </w:p>
    <w:p w:rsidR="00BC4B5A" w:rsidRPr="00BC4B5A" w:rsidRDefault="00BC4B5A" w:rsidP="00BC4B5A">
      <w:pPr>
        <w:keepNext/>
        <w:spacing w:after="0" w:line="240" w:lineRule="auto"/>
        <w:jc w:val="both"/>
        <w:outlineLvl w:val="0"/>
        <w:rPr>
          <w:rFonts w:eastAsia="Calibri"/>
          <w:b/>
          <w:caps/>
          <w:snapToGrid w:val="0"/>
          <w:szCs w:val="24"/>
          <w:lang w:val="en-US" w:eastAsia="en-US" w:bidi="en-US"/>
        </w:rPr>
      </w:pPr>
      <w:r w:rsidRPr="00BC4B5A">
        <w:rPr>
          <w:rFonts w:eastAsia="Calibri"/>
          <w:b/>
          <w:caps/>
          <w:snapToGrid w:val="0"/>
          <w:szCs w:val="24"/>
          <w:lang w:val="en-US" w:eastAsia="ja-JP" w:bidi="en-US"/>
        </w:rPr>
        <w:t xml:space="preserve">1. </w:t>
      </w:r>
      <w:r w:rsidRPr="00BC4B5A">
        <w:rPr>
          <w:rFonts w:eastAsia="Calibri"/>
          <w:b/>
          <w:caps/>
          <w:snapToGrid w:val="0"/>
          <w:szCs w:val="24"/>
          <w:lang w:val="en-US" w:eastAsia="en-US" w:bidi="en-US"/>
        </w:rPr>
        <w:t>I</w:t>
      </w:r>
      <w:r w:rsidRPr="00BC4B5A">
        <w:rPr>
          <w:rFonts w:eastAsia="Calibri"/>
          <w:b/>
          <w:caps/>
          <w:snapToGrid w:val="0"/>
          <w:szCs w:val="24"/>
          <w:lang w:val="en-US" w:eastAsia="ja-JP" w:bidi="en-US"/>
        </w:rPr>
        <w:t>NTRODUCTION</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The role of vibrations and impact protection is to minimize kinetic energy transmission between the source and surrounding (receiver) </w:t>
      </w:r>
      <w:r w:rsidRPr="00BC4B5A">
        <w:rPr>
          <w:rFonts w:eastAsia="Times New Roman"/>
          <w:snapToGrid w:val="0"/>
          <w:szCs w:val="24"/>
          <w:lang w:val="en-US" w:eastAsia="en-US"/>
        </w:rPr>
        <w:t>[</w:t>
      </w:r>
      <w:r w:rsidRPr="00BC4B5A">
        <w:rPr>
          <w:rFonts w:eastAsia="Times New Roman"/>
          <w:snapToGrid w:val="0"/>
          <w:szCs w:val="24"/>
          <w:lang w:val="en-US" w:eastAsia="ja-JP"/>
        </w:rPr>
        <w:t>1</w:t>
      </w:r>
      <w:r w:rsidRPr="00BC4B5A">
        <w:rPr>
          <w:rFonts w:eastAsia="Times New Roman"/>
          <w:snapToGrid w:val="0"/>
          <w:szCs w:val="24"/>
          <w:lang w:val="en-US" w:eastAsia="en-US"/>
        </w:rPr>
        <w:t>,</w:t>
      </w:r>
      <w:r w:rsidRPr="00BC4B5A">
        <w:rPr>
          <w:rFonts w:eastAsia="Times New Roman"/>
          <w:snapToGrid w:val="0"/>
          <w:szCs w:val="24"/>
          <w:lang w:val="en-US" w:eastAsia="ja-JP"/>
        </w:rPr>
        <w:t xml:space="preserve"> 2</w:t>
      </w:r>
      <w:r w:rsidRPr="00BC4B5A">
        <w:rPr>
          <w:rFonts w:eastAsia="Times New Roman"/>
          <w:snapToGrid w:val="0"/>
          <w:szCs w:val="24"/>
          <w:lang w:val="en-US" w:eastAsia="en-US"/>
        </w:rPr>
        <w:t>]</w:t>
      </w:r>
      <w:r w:rsidRPr="00BC4B5A">
        <w:rPr>
          <w:rFonts w:eastAsia="Times New Roman"/>
          <w:snapToGrid w:val="0"/>
          <w:color w:val="000000"/>
          <w:szCs w:val="24"/>
          <w:lang w:val="en-US" w:eastAsia="en-US"/>
        </w:rPr>
        <w:t xml:space="preserve">. The effectiveness of an isolation is determined by parameters such as mass, stiffness and damping of an isolation </w:t>
      </w:r>
      <w:r w:rsidRPr="00BC4B5A">
        <w:rPr>
          <w:rFonts w:eastAsia="Times New Roman"/>
          <w:snapToGrid w:val="0"/>
          <w:szCs w:val="24"/>
          <w:lang w:val="en-US" w:eastAsia="en-US"/>
        </w:rPr>
        <w:t>[3]</w:t>
      </w:r>
      <w:r w:rsidRPr="00BC4B5A">
        <w:rPr>
          <w:rFonts w:eastAsia="Times New Roman"/>
          <w:snapToGrid w:val="0"/>
          <w:color w:val="000000"/>
          <w:szCs w:val="24"/>
          <w:lang w:val="en-US" w:eastAsia="en-US"/>
        </w:rPr>
        <w:t xml:space="preserve">. Polymers are commonly used as isolations due to their good damping properties through viscose mechanisms, low specific density and good design and production flexibility </w:t>
      </w:r>
      <w:r w:rsidRPr="00BC4B5A">
        <w:rPr>
          <w:rFonts w:eastAsia="Times New Roman"/>
          <w:snapToGrid w:val="0"/>
          <w:szCs w:val="24"/>
          <w:lang w:val="en-US" w:eastAsia="en-US"/>
        </w:rPr>
        <w:t>[4]</w:t>
      </w:r>
      <w:r w:rsidRPr="00BC4B5A">
        <w:rPr>
          <w:rFonts w:eastAsia="Times New Roman"/>
          <w:snapToGrid w:val="0"/>
          <w:color w:val="000000"/>
          <w:szCs w:val="24"/>
          <w:lang w:val="en-US" w:eastAsia="en-US"/>
        </w:rPr>
        <w:t xml:space="preserve">. However, their main drawback is low stiffness </w:t>
      </w:r>
      <w:r w:rsidRPr="00BC4B5A">
        <w:rPr>
          <w:rFonts w:eastAsia="Times New Roman"/>
          <w:snapToGrid w:val="0"/>
          <w:szCs w:val="24"/>
          <w:lang w:val="en-US" w:eastAsia="en-US"/>
        </w:rPr>
        <w:t>[5]</w:t>
      </w:r>
      <w:r w:rsidRPr="00BC4B5A">
        <w:rPr>
          <w:rFonts w:eastAsia="Times New Roman"/>
          <w:snapToGrid w:val="0"/>
          <w:color w:val="000000"/>
          <w:szCs w:val="24"/>
          <w:lang w:val="en-US" w:eastAsia="en-US"/>
        </w:rPr>
        <w:t xml:space="preserve">. Comparing stiffness and damping of different polymeric materials, shows that the two properties are contradictory. Hence, polymers with high damping (energy absorption capability), typically elastomeric materials, have lower stiffness compared to polymers with lower damping, typically thermoplastic polymers </w:t>
      </w:r>
      <w:r w:rsidRPr="00BC4B5A">
        <w:rPr>
          <w:rFonts w:eastAsia="Times New Roman"/>
          <w:snapToGrid w:val="0"/>
          <w:szCs w:val="24"/>
          <w:lang w:val="en-US" w:eastAsia="en-US"/>
        </w:rPr>
        <w:t>[6, 7]</w:t>
      </w:r>
      <w:r w:rsidRPr="00BC4B5A">
        <w:rPr>
          <w:rFonts w:eastAsia="Times New Roman"/>
          <w:snapToGrid w:val="0"/>
          <w:color w:val="000000"/>
          <w:szCs w:val="24"/>
          <w:lang w:val="en-US" w:eastAsia="en-US"/>
        </w:rPr>
        <w:t xml:space="preserve">. Due to their lower stiffness, polymers with higher damping are usually not used for vibration isolation. In addition, these materials exhibit maximal values of damping (energy absorption) at high frequencies, often at frequencies far away from working range of machines and devices. It becomes clear, that at present, we do not have available solutions allowing us to utilize the full damping potential that especially elastomeric materials offer. In order to overcome these drawbacks of polymeric materials (limited stiffness and maximal damping at high frequencies), we need to find an approach (i) how to increase isolation stiffness, and (ii) how to shift maximal values of material damping towards lower frequencies.  We have solved the two issues with the patented </w:t>
      </w:r>
      <w:r w:rsidRPr="00BC4B5A">
        <w:rPr>
          <w:rFonts w:eastAsia="Times New Roman"/>
          <w:i/>
          <w:snapToGrid w:val="0"/>
          <w:color w:val="000000"/>
          <w:szCs w:val="24"/>
          <w:lang w:val="en-US" w:eastAsia="en-US"/>
        </w:rPr>
        <w:t xml:space="preserve">Dissipative bulk and granular systems technology </w:t>
      </w:r>
      <w:r w:rsidRPr="00BC4B5A">
        <w:rPr>
          <w:rFonts w:eastAsia="Times New Roman"/>
          <w:snapToGrid w:val="0"/>
          <w:szCs w:val="24"/>
          <w:lang w:val="en-US" w:eastAsia="en-US"/>
        </w:rPr>
        <w:t xml:space="preserve">[8], which </w:t>
      </w:r>
      <w:r w:rsidRPr="00BC4B5A">
        <w:rPr>
          <w:rFonts w:eastAsia="Times New Roman"/>
          <w:snapToGrid w:val="0"/>
          <w:color w:val="000000"/>
          <w:szCs w:val="24"/>
          <w:lang w:val="en-US" w:eastAsia="en-US"/>
        </w:rPr>
        <w:t xml:space="preserve">utilizes two scientific findings: </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(a) We found that by exposing polymeric materials to selected hydrostatic pressure </w:t>
      </w:r>
      <w:r w:rsidRPr="00BC4B5A">
        <w:rPr>
          <w:rFonts w:eastAsia="Times New Roman"/>
          <w:snapToGrid w:val="0"/>
          <w:szCs w:val="24"/>
          <w:lang w:val="en-US" w:eastAsia="en-US"/>
        </w:rPr>
        <w:t>[9, 10]</w:t>
      </w:r>
      <w:r w:rsidRPr="00BC4B5A">
        <w:rPr>
          <w:rFonts w:eastAsia="Times New Roman"/>
          <w:snapToGrid w:val="0"/>
          <w:color w:val="000000"/>
          <w:szCs w:val="24"/>
          <w:lang w:val="en-US" w:eastAsia="en-US"/>
        </w:rPr>
        <w:t xml:space="preserve">, causes a shift of mechanical properties to lower frequencies. Hence, by selecting a proper (elastomeric) material with high </w:t>
      </w:r>
      <w:r w:rsidRPr="00BC4B5A">
        <w:rPr>
          <w:rFonts w:eastAsia="Times New Roman"/>
          <w:snapToGrid w:val="0"/>
          <w:color w:val="000000"/>
          <w:szCs w:val="24"/>
          <w:lang w:val="en-US" w:eastAsia="en-US"/>
        </w:rPr>
        <w:lastRenderedPageBreak/>
        <w:t>damping properties and exposing it to a selected hydrostatic pressure, we can match the frequency range where material exhibits its maximal dissipation properties with the excitation or resonance frequency range of a vibrating structure. Using this principle, materials energy dissipation properties can be enhanced for several orders of magnitude. Unfortunately, pressures required for substantial change of damping properties may be quite high, i.e., from 50 - 100MPa, and even higher. Exposing bulk materials to such pressure levels in uniaxial compression will inevitably lead to appearance of cracks due to excessive accompanying shear stresses, and eventually to material failure. We have solved this problem with an inventive patented solution described below.</w:t>
      </w:r>
    </w:p>
    <w:p w:rsidR="00BC4B5A" w:rsidRPr="00BC4B5A" w:rsidRDefault="00BC4B5A" w:rsidP="00BC4B5A">
      <w:pPr>
        <w:widowControl w:val="0"/>
        <w:tabs>
          <w:tab w:val="center" w:pos="4695"/>
        </w:tabs>
        <w:suppressAutoHyphens/>
        <w:spacing w:after="0" w:line="240" w:lineRule="auto"/>
        <w:jc w:val="both"/>
        <w:rPr>
          <w:rFonts w:eastAsia="Times New Roman"/>
          <w:b/>
          <w:snapToGrid w:val="0"/>
          <w:szCs w:val="24"/>
          <w:lang w:val="en-US" w:eastAsia="ja-JP"/>
        </w:rPr>
      </w:pPr>
      <w:r w:rsidRPr="00BC4B5A">
        <w:rPr>
          <w:rFonts w:eastAsia="Times New Roman"/>
          <w:snapToGrid w:val="0"/>
          <w:color w:val="000000"/>
          <w:szCs w:val="24"/>
          <w:lang w:val="en-US" w:eastAsia="en-US"/>
        </w:rPr>
        <w:t xml:space="preserve">(b) We have realized that granular materials with a proper particles size-distribution may exhibit a flow-like behavior while maintaining all properties of a bulk material. To study the flowability of granular materials we have used the self-developed GFA apparatus (Granular Friction Analyzer) </w:t>
      </w:r>
      <w:r w:rsidRPr="00BC4B5A">
        <w:rPr>
          <w:rFonts w:eastAsia="Times New Roman"/>
          <w:snapToGrid w:val="0"/>
          <w:szCs w:val="24"/>
          <w:lang w:val="en-US" w:eastAsia="en-US"/>
        </w:rPr>
        <w:t>[11], which</w:t>
      </w:r>
      <w:r w:rsidRPr="00BC4B5A">
        <w:rPr>
          <w:rFonts w:eastAsia="Times New Roman"/>
          <w:snapToGrid w:val="0"/>
          <w:color w:val="000000"/>
          <w:szCs w:val="24"/>
          <w:lang w:val="en-US" w:eastAsia="en-US"/>
        </w:rPr>
        <w:t xml:space="preserve"> allows studying the ability of granular materials to flow in case when driving force is high (hydrostatic) pressure. Based on the studies of granular materials flowability we have concluded that polymeric granular materials with proper particles size-distribution may be used as a pressurizing media (similar as air in tires) to impose hydrostatic pressure on themselves (i.e., self-pressurization) and, as a result, change frequency dependence of their own damping properties. With a proper adjustment of the hydrostatic pressure, we can also adjust the stiffness of the damping element (again, similar as with air in tiers). Since energy dissipation of a damping element is proportional to the volume of used granular materials, whereas the stiffness in addition depends on geometry of a damping element, the two parameters (damping and stiffness) may be adjusted independently.</w:t>
      </w:r>
    </w:p>
    <w:p w:rsidR="00BC4B5A" w:rsidRPr="00BC4B5A" w:rsidRDefault="00BC4B5A" w:rsidP="00BC4B5A">
      <w:pPr>
        <w:widowControl w:val="0"/>
        <w:tabs>
          <w:tab w:val="center" w:pos="4695"/>
        </w:tabs>
        <w:suppressAutoHyphens/>
        <w:spacing w:after="0" w:line="240" w:lineRule="auto"/>
        <w:jc w:val="both"/>
        <w:rPr>
          <w:rFonts w:eastAsia="Times New Roman"/>
          <w:snapToGrid w:val="0"/>
          <w:szCs w:val="24"/>
          <w:lang w:val="en-US" w:eastAsia="ja-JP"/>
        </w:rPr>
      </w:pPr>
      <w:r w:rsidRPr="00BC4B5A">
        <w:rPr>
          <w:rFonts w:eastAsia="Times New Roman"/>
          <w:b/>
          <w:snapToGrid w:val="0"/>
          <w:szCs w:val="24"/>
          <w:lang w:val="en-US" w:eastAsia="ja-JP"/>
        </w:rPr>
        <w:t xml:space="preserve"> </w:t>
      </w:r>
    </w:p>
    <w:p w:rsidR="00BC4B5A" w:rsidRPr="00BC4B5A" w:rsidRDefault="00BC4B5A" w:rsidP="00BC4B5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BC4B5A">
        <w:rPr>
          <w:rFonts w:eastAsia="Times New Roman"/>
          <w:b/>
          <w:i/>
          <w:snapToGrid w:val="0"/>
          <w:szCs w:val="24"/>
          <w:lang w:val="en-US" w:eastAsia="en-US"/>
        </w:rPr>
        <w:t xml:space="preserve"> 1.1 Granular damping elements (GDE)</w:t>
      </w:r>
    </w:p>
    <w:p w:rsidR="00BC4B5A" w:rsidRPr="00BC4B5A" w:rsidRDefault="00BC4B5A" w:rsidP="00BC4B5A">
      <w:pPr>
        <w:widowControl w:val="0"/>
        <w:spacing w:after="0" w:line="240" w:lineRule="auto"/>
        <w:jc w:val="both"/>
        <w:rPr>
          <w:rFonts w:eastAsia="Times New Roman"/>
          <w:snapToGrid w:val="0"/>
          <w:szCs w:val="24"/>
          <w:lang w:val="en-US" w:eastAsia="ja-JP"/>
        </w:rPr>
      </w:pP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Considering the two scientific fats, Granular damping elements (GDE), were developed. GDE consists of a container, made of woven basalt, carbon or glass fibers, which is filled and pressurized with polymeric granular materials with multi-modal particles size-distribution. Due to the flow-like behavior of granulated polymers, the generated pressure within the container will be hydrostatic and will act on polymeric particles themselves, and consequently modify frequency dependence of their energy absorption properties. Hence, with a proper pressurization we may shift the material energy absorption maximum to any desired frequency. A sketch of such Granular damping element (GDE) is shown Figure </w:t>
      </w:r>
      <w:r w:rsidRPr="00BC4B5A">
        <w:rPr>
          <w:rFonts w:eastAsia="Times New Roman"/>
          <w:snapToGrid w:val="0"/>
          <w:szCs w:val="24"/>
          <w:lang w:val="en-US" w:eastAsia="en-US"/>
        </w:rPr>
        <w:t>1</w:t>
      </w:r>
      <w:r w:rsidRPr="00BC4B5A">
        <w:rPr>
          <w:rFonts w:eastAsia="Times New Roman"/>
          <w:snapToGrid w:val="0"/>
          <w:color w:val="000000"/>
          <w:szCs w:val="24"/>
          <w:lang w:val="en-US" w:eastAsia="en-US"/>
        </w:rPr>
        <w:t xml:space="preserve">, whereas Figure </w:t>
      </w:r>
      <w:r w:rsidRPr="00BC4B5A">
        <w:rPr>
          <w:rFonts w:eastAsia="Times New Roman"/>
          <w:snapToGrid w:val="0"/>
          <w:szCs w:val="24"/>
          <w:lang w:val="en-US" w:eastAsia="en-US"/>
        </w:rPr>
        <w:t>2</w:t>
      </w:r>
      <w:r w:rsidRPr="00BC4B5A">
        <w:rPr>
          <w:rFonts w:eastAsia="Times New Roman"/>
          <w:snapToGrid w:val="0"/>
          <w:color w:val="0000FF"/>
          <w:szCs w:val="24"/>
          <w:lang w:val="en-US" w:eastAsia="en-US"/>
        </w:rPr>
        <w:t xml:space="preserve"> </w:t>
      </w:r>
      <w:r w:rsidRPr="00BC4B5A">
        <w:rPr>
          <w:rFonts w:eastAsia="Times New Roman"/>
          <w:snapToGrid w:val="0"/>
          <w:color w:val="000000"/>
          <w:szCs w:val="24"/>
          <w:lang w:val="en-US" w:eastAsia="en-US"/>
        </w:rPr>
        <w:t>schematically presents its working principle.</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center"/>
        <w:rPr>
          <w:rFonts w:eastAsia="Times New Roman"/>
          <w:snapToGrid w:val="0"/>
          <w:color w:val="000000"/>
          <w:sz w:val="24"/>
          <w:szCs w:val="24"/>
          <w:lang w:val="en-GB" w:eastAsia="ja-JP"/>
        </w:rPr>
      </w:pPr>
      <w:r w:rsidRPr="00BC4B5A">
        <w:rPr>
          <w:rFonts w:eastAsia="Times New Roman"/>
          <w:noProof/>
          <w:snapToGrid w:val="0"/>
          <w:color w:val="000000"/>
          <w:sz w:val="24"/>
          <w:szCs w:val="24"/>
        </w:rPr>
        <w:drawing>
          <wp:inline distT="0" distB="0" distL="0" distR="0" wp14:anchorId="14DB608C" wp14:editId="3F139082">
            <wp:extent cx="2972847" cy="2132965"/>
            <wp:effectExtent l="0" t="0" r="0" b="63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9617" cy="2137822"/>
                    </a:xfrm>
                    <a:prstGeom prst="rect">
                      <a:avLst/>
                    </a:prstGeom>
                    <a:noFill/>
                    <a:ln>
                      <a:noFill/>
                    </a:ln>
                  </pic:spPr>
                </pic:pic>
              </a:graphicData>
            </a:graphic>
          </wp:inline>
        </w:drawing>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pacing w:val="-2"/>
          <w:sz w:val="20"/>
          <w:szCs w:val="24"/>
          <w:lang w:val="en-US" w:eastAsia="ja-JP"/>
        </w:rPr>
        <w:t xml:space="preserve">Figure 1. </w:t>
      </w:r>
      <w:r w:rsidRPr="00BC4B5A">
        <w:rPr>
          <w:rFonts w:eastAsia="Times New Roman"/>
          <w:snapToGrid w:val="0"/>
          <w:sz w:val="20"/>
          <w:szCs w:val="24"/>
          <w:lang w:val="en-US" w:eastAsia="en-US"/>
        </w:rPr>
        <w:t>Schematic presentation of Granular damping element (GDE).</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center"/>
        <w:rPr>
          <w:rFonts w:eastAsia="Times New Roman"/>
          <w:snapToGrid w:val="0"/>
          <w:color w:val="000000"/>
          <w:sz w:val="24"/>
          <w:szCs w:val="24"/>
          <w:lang w:val="en-GB" w:eastAsia="ja-JP"/>
        </w:rPr>
      </w:pPr>
      <w:r w:rsidRPr="00BC4B5A">
        <w:rPr>
          <w:rFonts w:eastAsia="Times New Roman"/>
          <w:noProof/>
          <w:snapToGrid w:val="0"/>
          <w:color w:val="000000"/>
          <w:sz w:val="24"/>
          <w:szCs w:val="24"/>
        </w:rPr>
        <w:lastRenderedPageBreak/>
        <w:drawing>
          <wp:inline distT="0" distB="0" distL="0" distR="0" wp14:anchorId="670776E8" wp14:editId="24699320">
            <wp:extent cx="3104515" cy="3420745"/>
            <wp:effectExtent l="0" t="0" r="0" b="825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4515" cy="3420745"/>
                    </a:xfrm>
                    <a:prstGeom prst="rect">
                      <a:avLst/>
                    </a:prstGeom>
                    <a:noFill/>
                    <a:ln>
                      <a:noFill/>
                    </a:ln>
                  </pic:spPr>
                </pic:pic>
              </a:graphicData>
            </a:graphic>
          </wp:inline>
        </w:drawing>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eastAsia="en-US"/>
        </w:rPr>
      </w:pP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z w:val="20"/>
          <w:szCs w:val="24"/>
          <w:lang w:val="en-US" w:eastAsia="en-US"/>
        </w:rPr>
        <w:t>Figure 2 Working principle behind Granular damping elements.</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Let us assume that a vibrating structure is equipped with a damping element made of a polymeric material of which its frequency dependent damping properties at environmental pressure </w:t>
      </w:r>
      <w:r w:rsidRPr="00BC4B5A">
        <w:rPr>
          <w:rFonts w:eastAsia="Times New Roman"/>
          <w:i/>
          <w:snapToGrid w:val="0"/>
          <w:color w:val="000000"/>
          <w:szCs w:val="24"/>
          <w:lang w:val="en-US" w:eastAsia="en-US"/>
        </w:rPr>
        <w:t>p</w:t>
      </w:r>
      <w:r w:rsidRPr="00BC4B5A">
        <w:rPr>
          <w:rFonts w:eastAsia="Times New Roman"/>
          <w:snapToGrid w:val="0"/>
          <w:color w:val="000000"/>
          <w:szCs w:val="24"/>
          <w:vertAlign w:val="subscript"/>
          <w:lang w:val="en-US" w:eastAsia="en-US"/>
        </w:rPr>
        <w:t>0</w:t>
      </w:r>
      <w:r w:rsidRPr="00BC4B5A">
        <w:rPr>
          <w:rFonts w:eastAsia="Times New Roman"/>
          <w:snapToGrid w:val="0"/>
          <w:color w:val="000000"/>
          <w:szCs w:val="24"/>
          <w:lang w:val="en-US" w:eastAsia="en-US"/>
        </w:rPr>
        <w:t xml:space="preserve">, expressed with the loss modulus </w:t>
      </w:r>
      <m:oMath>
        <m:r>
          <w:rPr>
            <w:rFonts w:ascii="Cambria Math" w:eastAsia="Times New Roman" w:hAnsi="Cambria Math"/>
            <w:snapToGrid w:val="0"/>
            <w:szCs w:val="24"/>
            <w:lang w:val="en-US" w:eastAsia="en-US"/>
          </w:rPr>
          <m:t>G''(ω)</m:t>
        </m:r>
      </m:oMath>
      <w:r w:rsidRPr="00BC4B5A">
        <w:rPr>
          <w:rFonts w:eastAsia="Times New Roman"/>
          <w:snapToGrid w:val="0"/>
          <w:color w:val="000000"/>
          <w:szCs w:val="24"/>
          <w:lang w:val="en-US" w:eastAsia="en-US"/>
        </w:rPr>
        <w:t xml:space="preserve">, are shown in Figure </w:t>
      </w:r>
      <w:r w:rsidRPr="00BC4B5A">
        <w:rPr>
          <w:rFonts w:eastAsia="Times New Roman"/>
          <w:snapToGrid w:val="0"/>
          <w:szCs w:val="24"/>
          <w:lang w:val="en-US" w:eastAsia="en-US"/>
        </w:rPr>
        <w:t>2</w:t>
      </w:r>
      <w:r w:rsidRPr="00BC4B5A">
        <w:rPr>
          <w:rFonts w:eastAsia="Times New Roman"/>
          <w:snapToGrid w:val="0"/>
          <w:color w:val="000000"/>
          <w:szCs w:val="24"/>
          <w:lang w:val="en-US" w:eastAsia="en-US"/>
        </w:rPr>
        <w:t xml:space="preserve">(a) as a dashed line. In the frequency range where the structure is in resonance, indicated as a shadowed area, the damping properties of this material are low. Consequently, the structure vibration amplitudes in the resonance frequency range will be large, as shown with a dashed line in Figure </w:t>
      </w:r>
      <w:r w:rsidRPr="00BC4B5A">
        <w:rPr>
          <w:rFonts w:eastAsia="Times New Roman"/>
          <w:snapToGrid w:val="0"/>
          <w:szCs w:val="24"/>
          <w:lang w:val="en-US" w:eastAsia="en-US"/>
        </w:rPr>
        <w:t>2</w:t>
      </w:r>
      <w:r w:rsidRPr="00BC4B5A">
        <w:rPr>
          <w:rFonts w:eastAsia="Times New Roman"/>
          <w:snapToGrid w:val="0"/>
          <w:color w:val="000000"/>
          <w:szCs w:val="24"/>
          <w:lang w:val="en-US" w:eastAsia="en-US"/>
        </w:rPr>
        <w:t xml:space="preserve">(b). Now, if we take the very same material in a granular form with a proper particles-size distribution and self-pressurize it within a woven container, we obtain the new GDE damping element with the ultimate damping properties. This is achieved by selecting a proper hydrostatic pressure </w:t>
      </w:r>
      <w:r w:rsidRPr="00BC4B5A">
        <w:rPr>
          <w:rFonts w:eastAsia="Times New Roman"/>
          <w:i/>
          <w:snapToGrid w:val="0"/>
          <w:color w:val="000000"/>
          <w:szCs w:val="24"/>
          <w:lang w:val="en-US" w:eastAsia="en-US"/>
        </w:rPr>
        <w:t>p</w:t>
      </w:r>
      <w:r w:rsidRPr="00BC4B5A">
        <w:rPr>
          <w:rFonts w:eastAsia="Times New Roman"/>
          <w:snapToGrid w:val="0"/>
          <w:color w:val="000000"/>
          <w:szCs w:val="24"/>
          <w:vertAlign w:val="subscript"/>
          <w:lang w:val="en-US" w:eastAsia="en-US"/>
        </w:rPr>
        <w:t>1</w:t>
      </w:r>
      <w:r w:rsidRPr="00BC4B5A">
        <w:rPr>
          <w:rFonts w:eastAsia="Times New Roman"/>
          <w:snapToGrid w:val="0"/>
          <w:color w:val="000000"/>
          <w:szCs w:val="24"/>
          <w:lang w:val="en-US" w:eastAsia="en-US"/>
        </w:rPr>
        <w:t xml:space="preserve"> within the container that shifts the loss modulus maximum to the resonance frequency range of the structure, as shown i</w:t>
      </w:r>
      <w:r w:rsidRPr="00BC4B5A">
        <w:rPr>
          <w:rFonts w:eastAsia="Times New Roman"/>
          <w:snapToGrid w:val="0"/>
          <w:szCs w:val="24"/>
          <w:lang w:val="en-US" w:eastAsia="en-US"/>
        </w:rPr>
        <w:t>n Figure 2(a) with a solid line. As a result, the vibration amplitudes of the structure will substantially diminish, as shown as a solid line in Figure 2(b</w:t>
      </w:r>
      <w:r w:rsidRPr="00BC4B5A">
        <w:rPr>
          <w:rFonts w:eastAsia="Times New Roman"/>
          <w:snapToGrid w:val="0"/>
          <w:color w:val="000000"/>
          <w:szCs w:val="24"/>
          <w:lang w:val="en-US" w:eastAsia="en-US"/>
        </w:rPr>
        <w:t>).</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To summarize, for vibration and/or impact control, where high damping is necessary, high values of loss modulus </w:t>
      </w:r>
      <m:oMath>
        <m:r>
          <w:rPr>
            <w:rFonts w:ascii="Cambria Math" w:eastAsia="Times New Roman" w:hAnsi="Cambria Math"/>
            <w:snapToGrid w:val="0"/>
            <w:szCs w:val="24"/>
            <w:lang w:val="en-US" w:eastAsia="en-US"/>
          </w:rPr>
          <m:t>G''(ω)</m:t>
        </m:r>
      </m:oMath>
      <w:r w:rsidRPr="00BC4B5A">
        <w:rPr>
          <w:rFonts w:eastAsia="Times New Roman"/>
          <w:snapToGrid w:val="0"/>
          <w:color w:val="000000"/>
          <w:szCs w:val="24"/>
          <w:lang w:val="en-US" w:eastAsia="en-US"/>
        </w:rPr>
        <w:t xml:space="preserve"> are needed, since loss modulus is related to dissipated energy. To fully utilize the damping properties of a polymeric material, the frequency range of its loss modulus maximum </w:t>
      </w: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G''</m:t>
            </m:r>
          </m:e>
          <m:sub>
            <m:r>
              <w:rPr>
                <w:rFonts w:ascii="Cambria Math" w:eastAsia="Times New Roman" w:hAnsi="Cambria Math"/>
                <w:snapToGrid w:val="0"/>
                <w:szCs w:val="24"/>
                <w:lang w:val="en-US" w:eastAsia="en-US"/>
              </w:rPr>
              <m:t>max</m:t>
            </m:r>
          </m:sub>
        </m:sSub>
        <m:r>
          <w:rPr>
            <w:rFonts w:ascii="Cambria Math" w:eastAsia="Times New Roman" w:hAnsi="Cambria Math"/>
            <w:snapToGrid w:val="0"/>
            <w:szCs w:val="24"/>
            <w:lang w:val="en-US" w:eastAsia="en-US"/>
          </w:rPr>
          <m:t>(ω)</m:t>
        </m:r>
      </m:oMath>
      <w:r w:rsidRPr="00BC4B5A">
        <w:rPr>
          <w:rFonts w:eastAsia="Times New Roman"/>
          <w:snapToGrid w:val="0"/>
          <w:color w:val="000000"/>
          <w:szCs w:val="24"/>
          <w:lang w:val="en-US" w:eastAsia="en-US"/>
        </w:rPr>
        <w:t xml:space="preserve">should be matched with an excitation frequency or an impact rate imposed to a mechanical system. As mentioned before, this may be achieved by exposing elastomeric granular material to a properly selected hydrostatic pressure and adjust the frequency at which the material exhibits maximum energy dissipation, i.e., </w:t>
      </w: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G''</m:t>
            </m:r>
          </m:e>
          <m:sub>
            <m:r>
              <w:rPr>
                <w:rFonts w:ascii="Cambria Math" w:eastAsia="Times New Roman" w:hAnsi="Cambria Math"/>
                <w:snapToGrid w:val="0"/>
                <w:szCs w:val="24"/>
                <w:lang w:val="en-US" w:eastAsia="en-US"/>
              </w:rPr>
              <m:t>max</m:t>
            </m:r>
          </m:sub>
        </m:sSub>
        <m:r>
          <w:rPr>
            <w:rFonts w:ascii="Cambria Math" w:eastAsia="Times New Roman" w:hAnsi="Cambria Math"/>
            <w:snapToGrid w:val="0"/>
            <w:szCs w:val="24"/>
            <w:lang w:val="en-US" w:eastAsia="en-US"/>
          </w:rPr>
          <m:t>(ω)</m:t>
        </m:r>
      </m:oMath>
      <w:r w:rsidRPr="00BC4B5A">
        <w:rPr>
          <w:rFonts w:eastAsia="Times New Roman"/>
          <w:snapToGrid w:val="0"/>
          <w:color w:val="000000"/>
          <w:szCs w:val="24"/>
          <w:lang w:val="en-US" w:eastAsia="en-US"/>
        </w:rPr>
        <w:t>, such so to match the frequency of the vibrating structure. Described approach allows ultimate utilization of damping properties of all existing and/or newly developed polymeric materials of which its maximum damping frequency is located at higher frequencies than the resonance frequency range of an observed dynamic system.</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To this end, the goal of this paper is to examine pressure and frequency dependence of three polyether-based thermoplastic polyurethane (TPU) materials that are potential candidates for building the new generation GDE damping elements.</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keepNext/>
        <w:spacing w:after="0" w:line="240" w:lineRule="auto"/>
        <w:jc w:val="both"/>
        <w:outlineLvl w:val="0"/>
        <w:rPr>
          <w:rFonts w:eastAsia="Calibri"/>
          <w:b/>
          <w:caps/>
          <w:snapToGrid w:val="0"/>
          <w:szCs w:val="24"/>
          <w:lang w:val="en-US" w:eastAsia="ja-JP" w:bidi="en-US"/>
        </w:rPr>
      </w:pPr>
      <w:r w:rsidRPr="00BC4B5A">
        <w:rPr>
          <w:rFonts w:eastAsia="Calibri"/>
          <w:b/>
          <w:caps/>
          <w:snapToGrid w:val="0"/>
          <w:szCs w:val="24"/>
          <w:lang w:val="en-US" w:eastAsia="ja-JP" w:bidi="en-US"/>
        </w:rPr>
        <w:t>2. EXPERIMENTAL</w:t>
      </w:r>
    </w:p>
    <w:p w:rsidR="00BC4B5A" w:rsidRPr="00BC4B5A" w:rsidRDefault="00BC4B5A" w:rsidP="00BC4B5A">
      <w:pPr>
        <w:widowControl w:val="0"/>
        <w:spacing w:after="0" w:line="240" w:lineRule="auto"/>
        <w:jc w:val="both"/>
        <w:rPr>
          <w:rFonts w:eastAsia="Times New Roman"/>
          <w:snapToGrid w:val="0"/>
          <w:szCs w:val="24"/>
          <w:lang w:val="en-US" w:eastAsia="ja-JP"/>
        </w:rPr>
      </w:pPr>
      <w:r w:rsidRPr="00BC4B5A">
        <w:rPr>
          <w:rFonts w:eastAsia="Times New Roman"/>
          <w:snapToGrid w:val="0"/>
          <w:szCs w:val="24"/>
          <w:lang w:val="en-US" w:eastAsia="ja-JP"/>
        </w:rPr>
        <w:t xml:space="preserve"> </w:t>
      </w:r>
    </w:p>
    <w:p w:rsidR="00BC4B5A" w:rsidRPr="00BC4B5A" w:rsidRDefault="00BC4B5A" w:rsidP="00BC4B5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ja-JP"/>
        </w:rPr>
      </w:pPr>
      <w:r w:rsidRPr="00BC4B5A">
        <w:rPr>
          <w:rFonts w:eastAsia="Times New Roman"/>
          <w:b/>
          <w:i/>
          <w:snapToGrid w:val="0"/>
          <w:szCs w:val="24"/>
          <w:lang w:val="en-US" w:eastAsia="ja-JP"/>
        </w:rPr>
        <w:t>2.1 Experimental setup</w:t>
      </w:r>
    </w:p>
    <w:p w:rsidR="00BC4B5A" w:rsidRPr="00BC4B5A" w:rsidRDefault="00BC4B5A" w:rsidP="00BC4B5A">
      <w:pPr>
        <w:widowControl w:val="0"/>
        <w:tabs>
          <w:tab w:val="left" w:pos="284"/>
          <w:tab w:val="center" w:pos="4695"/>
        </w:tabs>
        <w:suppressAutoHyphens/>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tabs>
          <w:tab w:val="left" w:pos="284"/>
          <w:tab w:val="center" w:pos="4695"/>
        </w:tabs>
        <w:suppressAutoHyphens/>
        <w:spacing w:after="0" w:line="240" w:lineRule="auto"/>
        <w:jc w:val="both"/>
        <w:rPr>
          <w:rFonts w:eastAsia="Times New Roman"/>
          <w:snapToGrid w:val="0"/>
          <w:szCs w:val="24"/>
          <w:lang w:val="en-GB" w:eastAsia="ja-JP"/>
        </w:rPr>
      </w:pPr>
      <w:r w:rsidRPr="00BC4B5A">
        <w:rPr>
          <w:rFonts w:eastAsia="Times New Roman"/>
          <w:snapToGrid w:val="0"/>
          <w:color w:val="000000"/>
          <w:szCs w:val="24"/>
          <w:lang w:val="en-US" w:eastAsia="en-US"/>
        </w:rPr>
        <w:t>All experiments were performed on a self-built apparatus, called CEM</w:t>
      </w:r>
      <w:r w:rsidRPr="00BC4B5A">
        <w:rPr>
          <w:rFonts w:eastAsia="Times New Roman"/>
          <w:snapToGrid w:val="0"/>
          <w:color w:val="00FF00"/>
          <w:szCs w:val="24"/>
          <w:lang w:val="en-US" w:eastAsia="en-US"/>
        </w:rPr>
        <w:t xml:space="preserve"> </w:t>
      </w:r>
      <w:r w:rsidRPr="00BC4B5A">
        <w:rPr>
          <w:rFonts w:eastAsia="Times New Roman"/>
          <w:snapToGrid w:val="0"/>
          <w:color w:val="000000"/>
          <w:szCs w:val="24"/>
          <w:lang w:val="en-US" w:eastAsia="en-US"/>
        </w:rPr>
        <w:t xml:space="preserve">Measuring System, shortly CMS </w:t>
      </w:r>
      <w:r w:rsidRPr="00BC4B5A">
        <w:rPr>
          <w:rFonts w:eastAsia="Times New Roman"/>
          <w:snapToGrid w:val="0"/>
          <w:szCs w:val="24"/>
          <w:lang w:val="en-US" w:eastAsia="en-US"/>
        </w:rPr>
        <w:t xml:space="preserve">[9, </w:t>
      </w:r>
      <w:r w:rsidRPr="00BC4B5A">
        <w:rPr>
          <w:rFonts w:eastAsia="Times New Roman"/>
          <w:snapToGrid w:val="0"/>
          <w:szCs w:val="24"/>
          <w:lang w:val="en-US" w:eastAsia="en-US"/>
        </w:rPr>
        <w:lastRenderedPageBreak/>
        <w:t>10</w:t>
      </w:r>
      <w:r w:rsidRPr="00BC4B5A">
        <w:rPr>
          <w:rFonts w:eastAsia="Times New Roman"/>
          <w:snapToGrid w:val="0"/>
          <w:szCs w:val="24"/>
          <w:lang w:val="en-GB" w:eastAsia="ja-JP"/>
        </w:rPr>
        <w:t>]</w:t>
      </w:r>
      <w:r w:rsidRPr="00BC4B5A">
        <w:rPr>
          <w:rFonts w:eastAsia="Times New Roman"/>
          <w:snapToGrid w:val="0"/>
          <w:color w:val="000000"/>
          <w:szCs w:val="24"/>
          <w:lang w:val="en-US" w:eastAsia="en-US"/>
        </w:rPr>
        <w:t>. CMS allows measurements of shear relaxation and bulk creep compliance properties of polymers in solid state, simultaneously subjected to temperatures ranging from -40</w:t>
      </w:r>
      <w:r w:rsidRPr="00BC4B5A">
        <w:rPr>
          <w:rFonts w:eastAsia="Times New Roman"/>
          <w:snapToGrid w:val="0"/>
          <w:szCs w:val="24"/>
          <w:lang w:val="en-US" w:eastAsia="en-US"/>
        </w:rPr>
        <w:t>°C</w:t>
      </w:r>
      <w:r w:rsidRPr="00BC4B5A">
        <w:rPr>
          <w:rFonts w:eastAsia="Times New Roman"/>
          <w:snapToGrid w:val="0"/>
          <w:color w:val="000000"/>
          <w:szCs w:val="24"/>
          <w:lang w:val="en-US" w:eastAsia="en-US"/>
        </w:rPr>
        <w:t xml:space="preserve"> to +120</w:t>
      </w:r>
      <w:r w:rsidRPr="00BC4B5A">
        <w:rPr>
          <w:rFonts w:eastAsia="Times New Roman"/>
          <w:snapToGrid w:val="0"/>
          <w:szCs w:val="24"/>
          <w:lang w:val="en-US" w:eastAsia="en-US"/>
        </w:rPr>
        <w:t>°C</w:t>
      </w:r>
      <w:r w:rsidRPr="00BC4B5A">
        <w:rPr>
          <w:rFonts w:eastAsia="Times New Roman"/>
          <w:snapToGrid w:val="0"/>
          <w:color w:val="000000"/>
          <w:szCs w:val="24"/>
          <w:lang w:val="en-US" w:eastAsia="en-US"/>
        </w:rPr>
        <w:t xml:space="preserve">, and hydrostatic pressures ranging from atmospheric to 500MPa. The apparatus is shown schematically in Figure </w:t>
      </w:r>
      <w:r w:rsidRPr="00BC4B5A">
        <w:rPr>
          <w:rFonts w:eastAsia="Times New Roman"/>
          <w:snapToGrid w:val="0"/>
          <w:szCs w:val="24"/>
          <w:lang w:val="en-US" w:eastAsia="en-US"/>
        </w:rPr>
        <w:t>3</w:t>
      </w:r>
      <w:r w:rsidRPr="00BC4B5A">
        <w:rPr>
          <w:rFonts w:eastAsia="Times New Roman"/>
          <w:snapToGrid w:val="0"/>
          <w:color w:val="000000"/>
          <w:szCs w:val="24"/>
          <w:lang w:val="en-US" w:eastAsia="en-US"/>
        </w:rPr>
        <w:t xml:space="preserve">. </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BC4B5A">
        <w:rPr>
          <w:rFonts w:eastAsia="Times New Roman"/>
          <w:noProof/>
          <w:snapToGrid w:val="0"/>
          <w:szCs w:val="24"/>
        </w:rPr>
        <w:drawing>
          <wp:inline distT="0" distB="0" distL="0" distR="0" wp14:anchorId="0A00516D" wp14:editId="494087FB">
            <wp:extent cx="3138946" cy="1700262"/>
            <wp:effectExtent l="0" t="0" r="10795" b="1905"/>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8046" cy="1726858"/>
                    </a:xfrm>
                    <a:prstGeom prst="rect">
                      <a:avLst/>
                    </a:prstGeom>
                  </pic:spPr>
                </pic:pic>
              </a:graphicData>
            </a:graphic>
          </wp:inline>
        </w:drawing>
      </w: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z w:val="20"/>
          <w:szCs w:val="24"/>
          <w:lang w:val="en-US" w:eastAsia="en-US"/>
        </w:rPr>
        <w:t>Figure 3. Schematic representation of CMS apparatus [9</w:t>
      </w:r>
      <w:r w:rsidRPr="00BC4B5A">
        <w:rPr>
          <w:rFonts w:eastAsia="Times New Roman"/>
          <w:snapToGrid w:val="0"/>
          <w:sz w:val="20"/>
          <w:szCs w:val="24"/>
          <w:lang w:val="en-GB" w:eastAsia="ja-JP"/>
        </w:rPr>
        <w:t>]</w:t>
      </w:r>
      <w:r w:rsidRPr="00BC4B5A">
        <w:rPr>
          <w:rFonts w:eastAsia="Times New Roman"/>
          <w:snapToGrid w:val="0"/>
          <w:sz w:val="20"/>
          <w:szCs w:val="24"/>
          <w:lang w:val="en-US" w:eastAsia="en-US"/>
        </w:rPr>
        <w:t>.</w:t>
      </w:r>
    </w:p>
    <w:p w:rsidR="00BC4B5A" w:rsidRPr="00BC4B5A" w:rsidRDefault="00BC4B5A" w:rsidP="00BC4B5A">
      <w:pPr>
        <w:widowControl w:val="0"/>
        <w:tabs>
          <w:tab w:val="left" w:pos="284"/>
          <w:tab w:val="center" w:pos="4695"/>
        </w:tabs>
        <w:suppressAutoHyphens/>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tabs>
          <w:tab w:val="left" w:pos="284"/>
          <w:tab w:val="center" w:pos="4695"/>
        </w:tabs>
        <w:suppressAutoHyphens/>
        <w:spacing w:after="0" w:line="240" w:lineRule="auto"/>
        <w:jc w:val="both"/>
        <w:rPr>
          <w:rFonts w:eastAsia="Times New Roman"/>
          <w:snapToGrid w:val="0"/>
          <w:szCs w:val="24"/>
          <w:lang w:val="en-GB" w:eastAsia="ja-JP"/>
        </w:rPr>
      </w:pPr>
      <w:r w:rsidRPr="00BC4B5A">
        <w:rPr>
          <w:rFonts w:eastAsia="Times New Roman"/>
          <w:snapToGrid w:val="0"/>
          <w:color w:val="000000"/>
          <w:szCs w:val="24"/>
          <w:lang w:val="en-US" w:eastAsia="en-US"/>
        </w:rPr>
        <w:t xml:space="preserve">The pressure is generated by the pressurizing system using silicone oil. The </w:t>
      </w:r>
      <w:r w:rsidRPr="00BC4B5A">
        <w:rPr>
          <w:rFonts w:eastAsia="Times New Roman"/>
          <w:i/>
          <w:snapToGrid w:val="0"/>
          <w:color w:val="000000"/>
          <w:szCs w:val="24"/>
          <w:lang w:val="en-US" w:eastAsia="en-US"/>
        </w:rPr>
        <w:t>pressure vessel</w:t>
      </w:r>
      <w:r w:rsidRPr="00BC4B5A">
        <w:rPr>
          <w:rFonts w:eastAsia="Times New Roman"/>
          <w:snapToGrid w:val="0"/>
          <w:color w:val="000000"/>
          <w:szCs w:val="24"/>
          <w:lang w:val="en-US" w:eastAsia="en-US"/>
        </w:rPr>
        <w:t xml:space="preserve"> is contained within the </w:t>
      </w:r>
      <w:r w:rsidRPr="00BC4B5A">
        <w:rPr>
          <w:rFonts w:eastAsia="Times New Roman"/>
          <w:i/>
          <w:snapToGrid w:val="0"/>
          <w:color w:val="000000"/>
          <w:szCs w:val="24"/>
          <w:lang w:val="en-US" w:eastAsia="en-US"/>
        </w:rPr>
        <w:t>thermal bath</w:t>
      </w:r>
      <w:r w:rsidRPr="00BC4B5A">
        <w:rPr>
          <w:rFonts w:eastAsia="Times New Roman"/>
          <w:snapToGrid w:val="0"/>
          <w:color w:val="000000"/>
          <w:szCs w:val="24"/>
          <w:lang w:val="en-US" w:eastAsia="en-US"/>
        </w:rPr>
        <w:t xml:space="preserve">, where another silicone oil circulates from the </w:t>
      </w:r>
      <w:r w:rsidRPr="00BC4B5A">
        <w:rPr>
          <w:rFonts w:eastAsia="Times New Roman"/>
          <w:i/>
          <w:snapToGrid w:val="0"/>
          <w:color w:val="000000"/>
          <w:szCs w:val="24"/>
          <w:lang w:val="en-US" w:eastAsia="en-US"/>
        </w:rPr>
        <w:t>circulator</w:t>
      </w:r>
      <w:r w:rsidRPr="00BC4B5A">
        <w:rPr>
          <w:rFonts w:eastAsia="Times New Roman"/>
          <w:snapToGrid w:val="0"/>
          <w:color w:val="000000"/>
          <w:szCs w:val="24"/>
          <w:lang w:val="en-US" w:eastAsia="en-US"/>
        </w:rPr>
        <w:t xml:space="preserve">, used for precise temperature control. The apparatus utilizes two separate </w:t>
      </w:r>
      <w:r w:rsidRPr="00BC4B5A">
        <w:rPr>
          <w:rFonts w:eastAsia="Times New Roman"/>
          <w:i/>
          <w:snapToGrid w:val="0"/>
          <w:color w:val="000000"/>
          <w:szCs w:val="24"/>
          <w:lang w:val="en-US" w:eastAsia="en-US"/>
        </w:rPr>
        <w:t>measuring inserts</w:t>
      </w:r>
      <w:r w:rsidRPr="00BC4B5A">
        <w:rPr>
          <w:rFonts w:eastAsia="Times New Roman"/>
          <w:snapToGrid w:val="0"/>
          <w:color w:val="000000"/>
          <w:szCs w:val="24"/>
          <w:lang w:val="en-US" w:eastAsia="en-US"/>
        </w:rPr>
        <w:t xml:space="preserve">, which can be inserted into the pressure vessel, the </w:t>
      </w:r>
      <w:r w:rsidRPr="00BC4B5A">
        <w:rPr>
          <w:rFonts w:eastAsia="Times New Roman"/>
          <w:i/>
          <w:snapToGrid w:val="0"/>
          <w:color w:val="000000"/>
          <w:szCs w:val="24"/>
          <w:lang w:val="en-US" w:eastAsia="en-US"/>
        </w:rPr>
        <w:t>relaxometer</w:t>
      </w:r>
      <w:r w:rsidRPr="00BC4B5A">
        <w:rPr>
          <w:rFonts w:eastAsia="Times New Roman"/>
          <w:snapToGrid w:val="0"/>
          <w:color w:val="000000"/>
          <w:szCs w:val="24"/>
          <w:lang w:val="en-US" w:eastAsia="en-US"/>
        </w:rPr>
        <w:t xml:space="preserve"> and the </w:t>
      </w:r>
      <w:r w:rsidRPr="00BC4B5A">
        <w:rPr>
          <w:rFonts w:eastAsia="Times New Roman"/>
          <w:i/>
          <w:snapToGrid w:val="0"/>
          <w:color w:val="000000"/>
          <w:szCs w:val="24"/>
          <w:lang w:val="en-US" w:eastAsia="en-US"/>
        </w:rPr>
        <w:t>dilatometer.</w:t>
      </w:r>
      <w:r w:rsidRPr="00BC4B5A">
        <w:rPr>
          <w:rFonts w:eastAsia="Times New Roman"/>
          <w:snapToGrid w:val="0"/>
          <w:color w:val="000000"/>
          <w:szCs w:val="24"/>
          <w:lang w:val="en-US" w:eastAsia="en-US"/>
        </w:rPr>
        <w:t xml:space="preserve"> Signals from the measuring inserts pass through the </w:t>
      </w:r>
      <w:r w:rsidRPr="00BC4B5A">
        <w:rPr>
          <w:rFonts w:eastAsia="Times New Roman"/>
          <w:i/>
          <w:snapToGrid w:val="0"/>
          <w:color w:val="000000"/>
          <w:szCs w:val="24"/>
          <w:lang w:val="en-US" w:eastAsia="en-US"/>
        </w:rPr>
        <w:t>carrier amplifier</w:t>
      </w:r>
      <w:r w:rsidRPr="00BC4B5A">
        <w:rPr>
          <w:rFonts w:eastAsia="Times New Roman"/>
          <w:snapToGrid w:val="0"/>
          <w:color w:val="000000"/>
          <w:szCs w:val="24"/>
          <w:lang w:val="en-US" w:eastAsia="en-US"/>
        </w:rPr>
        <w:t xml:space="preserve"> prior to being collected in digital format by the </w:t>
      </w:r>
      <w:r w:rsidRPr="00BC4B5A">
        <w:rPr>
          <w:rFonts w:eastAsia="Times New Roman"/>
          <w:i/>
          <w:snapToGrid w:val="0"/>
          <w:color w:val="000000"/>
          <w:szCs w:val="24"/>
          <w:lang w:val="en-US" w:eastAsia="en-US"/>
        </w:rPr>
        <w:t>data acquisition system</w:t>
      </w:r>
      <w:r w:rsidRPr="00BC4B5A">
        <w:rPr>
          <w:rFonts w:eastAsia="Times New Roman"/>
          <w:snapToGrid w:val="0"/>
          <w:color w:val="000000"/>
          <w:szCs w:val="24"/>
          <w:lang w:val="en-US" w:eastAsia="en-US"/>
        </w:rPr>
        <w:t>. The magnet and motor charger supplies current to the electromagnet, which activates the measurement. The same charger also supplies current to the electric motor of the relaxometer, which pre-loads the spring that then applies the desired torsional deformation (angular displacement), to the specimen. Specimens can be simultaneously subjected to pressures of up to 500MPa with a precision of ±0.1MPa, and to temperatures ranging from -40</w:t>
      </w:r>
      <w:r w:rsidRPr="00BC4B5A">
        <w:rPr>
          <w:rFonts w:eastAsia="Times New Roman"/>
          <w:snapToGrid w:val="0"/>
          <w:szCs w:val="24"/>
          <w:lang w:val="en-US" w:eastAsia="en-US"/>
        </w:rPr>
        <w:t>°C</w:t>
      </w:r>
      <w:r w:rsidRPr="00BC4B5A">
        <w:rPr>
          <w:rFonts w:eastAsia="Times New Roman"/>
          <w:snapToGrid w:val="0"/>
          <w:color w:val="000000"/>
          <w:szCs w:val="24"/>
          <w:lang w:val="en-US" w:eastAsia="en-US"/>
        </w:rPr>
        <w:t xml:space="preserve"> to +120</w:t>
      </w:r>
      <w:r w:rsidRPr="00BC4B5A">
        <w:rPr>
          <w:rFonts w:eastAsia="Times New Roman"/>
          <w:snapToGrid w:val="0"/>
          <w:szCs w:val="24"/>
          <w:lang w:val="en-US" w:eastAsia="en-US"/>
        </w:rPr>
        <w:t>°C</w:t>
      </w:r>
      <w:r w:rsidRPr="00BC4B5A">
        <w:rPr>
          <w:rFonts w:eastAsia="Times New Roman"/>
          <w:snapToGrid w:val="0"/>
          <w:color w:val="000000"/>
          <w:szCs w:val="24"/>
          <w:lang w:val="en-US" w:eastAsia="en-US"/>
        </w:rPr>
        <w:t xml:space="preserve"> with a precision of ±0.01</w:t>
      </w:r>
      <w:r w:rsidRPr="00BC4B5A">
        <w:rPr>
          <w:rFonts w:eastAsia="Times New Roman"/>
          <w:snapToGrid w:val="0"/>
          <w:szCs w:val="24"/>
          <w:lang w:val="en-US" w:eastAsia="en-US"/>
        </w:rPr>
        <w:t>°C</w:t>
      </w:r>
      <w:r w:rsidRPr="00BC4B5A">
        <w:rPr>
          <w:rFonts w:eastAsia="Times New Roman"/>
          <w:snapToGrid w:val="0"/>
          <w:color w:val="000000"/>
          <w:szCs w:val="24"/>
          <w:lang w:val="en-US" w:eastAsia="en-US"/>
        </w:rPr>
        <w:t xml:space="preserve">. Details on the experimental setup are given elsewhere </w:t>
      </w:r>
      <w:r w:rsidRPr="00BC4B5A">
        <w:rPr>
          <w:rFonts w:eastAsia="Times New Roman"/>
          <w:snapToGrid w:val="0"/>
          <w:szCs w:val="24"/>
          <w:lang w:val="en-US" w:eastAsia="en-US"/>
        </w:rPr>
        <w:t>[9, 10</w:t>
      </w:r>
      <w:r w:rsidRPr="00BC4B5A">
        <w:rPr>
          <w:rFonts w:eastAsia="Times New Roman"/>
          <w:snapToGrid w:val="0"/>
          <w:szCs w:val="24"/>
          <w:lang w:val="en-GB" w:eastAsia="ja-JP"/>
        </w:rPr>
        <w:t>].</w:t>
      </w:r>
    </w:p>
    <w:p w:rsidR="00BC4B5A" w:rsidRPr="00BC4B5A" w:rsidRDefault="00BC4B5A" w:rsidP="00BC4B5A">
      <w:pPr>
        <w:widowControl w:val="0"/>
        <w:tabs>
          <w:tab w:val="left" w:pos="-720"/>
          <w:tab w:val="left" w:pos="284"/>
        </w:tabs>
        <w:spacing w:after="0" w:line="240" w:lineRule="auto"/>
        <w:jc w:val="both"/>
        <w:rPr>
          <w:rFonts w:eastAsia="Times New Roman"/>
          <w:snapToGrid w:val="0"/>
          <w:szCs w:val="24"/>
          <w:lang w:val="en-US" w:eastAsia="en-US"/>
        </w:rPr>
      </w:pPr>
    </w:p>
    <w:p w:rsidR="00BC4B5A" w:rsidRPr="00BC4B5A" w:rsidRDefault="00BC4B5A" w:rsidP="00BC4B5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ja-JP"/>
        </w:rPr>
      </w:pPr>
      <w:r w:rsidRPr="00BC4B5A">
        <w:rPr>
          <w:rFonts w:eastAsia="Times New Roman"/>
          <w:b/>
          <w:i/>
          <w:snapToGrid w:val="0"/>
          <w:szCs w:val="24"/>
          <w:lang w:val="en-US" w:eastAsia="ja-JP"/>
        </w:rPr>
        <w:t xml:space="preserve">2.1 </w:t>
      </w:r>
      <w:r w:rsidRPr="00BC4B5A">
        <w:rPr>
          <w:rFonts w:eastAsia="Times New Roman"/>
          <w:b/>
          <w:i/>
          <w:snapToGrid w:val="0"/>
          <w:szCs w:val="24"/>
          <w:lang w:val="en-US" w:eastAsia="en-US"/>
        </w:rPr>
        <w:t>Sample preparation</w:t>
      </w:r>
    </w:p>
    <w:p w:rsidR="00BC4B5A" w:rsidRPr="00BC4B5A" w:rsidRDefault="00BC4B5A" w:rsidP="00BC4B5A">
      <w:pPr>
        <w:widowControl w:val="0"/>
        <w:tabs>
          <w:tab w:val="left" w:pos="284"/>
          <w:tab w:val="center" w:pos="4695"/>
        </w:tabs>
        <w:suppressAutoHyphens/>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tabs>
          <w:tab w:val="left" w:pos="284"/>
          <w:tab w:val="center" w:pos="4695"/>
        </w:tabs>
        <w:suppressAutoHyphens/>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We have investigated three polyether-based thermoplastic polyurethane (TPU) materials from the Elastollan® 11 series, i.e., (i) 1190A, (ii) 1175A, and (iii) 1195D, produced by BASF, that are already used in manufacturing of vibration insulation. Since Elastollan® is hygroscopic material, all materials were dried at 100°C for at least 3 hours in a commercial dryer (SP105-C, Kambič, Slovenia), to avoid bubbles formation during the extrusion process.</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Due to measuring limitations of the CMS apparatus, we had to prepare samples with different diameters for measurements at different pressure-temperature boundary conditions. Samples were prepared with PolyLab HAAKE Rheomex PTW 16 extruder (Thermo Haake, Germany) equipped with two co-rotating 16mm screws.  Thicker samples (</w:t>
      </w:r>
      <m:oMath>
        <m:r>
          <w:rPr>
            <w:rFonts w:ascii="Cambria Math" w:eastAsia="Times New Roman" w:hAnsi="Cambria Math"/>
            <w:snapToGrid w:val="0"/>
            <w:color w:val="000000"/>
            <w:szCs w:val="24"/>
            <w:lang w:val="en-US" w:eastAsia="en-US"/>
          </w:rPr>
          <m:t>ϕ=~</m:t>
        </m:r>
      </m:oMath>
      <w:r w:rsidRPr="00BC4B5A">
        <w:rPr>
          <w:rFonts w:eastAsia="Times New Roman"/>
          <w:snapToGrid w:val="0"/>
          <w:color w:val="000000"/>
          <w:szCs w:val="24"/>
          <w:lang w:val="en-US" w:eastAsia="en-US"/>
        </w:rPr>
        <w:t xml:space="preserve">6mm and </w:t>
      </w:r>
      <m:oMath>
        <m:r>
          <w:rPr>
            <w:rFonts w:ascii="Cambria Math" w:eastAsia="Times New Roman" w:hAnsi="Cambria Math"/>
            <w:snapToGrid w:val="0"/>
            <w:color w:val="000000"/>
            <w:szCs w:val="24"/>
            <w:lang w:val="en-US" w:eastAsia="en-US"/>
          </w:rPr>
          <m:t>~</m:t>
        </m:r>
      </m:oMath>
      <w:r w:rsidRPr="00BC4B5A">
        <w:rPr>
          <w:rFonts w:eastAsia="Times New Roman"/>
          <w:snapToGrid w:val="0"/>
          <w:color w:val="000000"/>
          <w:szCs w:val="24"/>
          <w:lang w:val="en-US" w:eastAsia="en-US"/>
        </w:rPr>
        <w:t>11mm) were prepared by extrusion into glass tubes that were coated from the inside with a silicon rubber (Tesacoma, silicone pastry board), to prevent the extruded melt from sticking to the glass. Coated glass tubes were pre-heated to 100°C before they were filled with materials, and then-after naturally cooled at room conditions. Thinner samples (</w:t>
      </w:r>
      <m:oMath>
        <m:r>
          <w:rPr>
            <w:rFonts w:ascii="Cambria Math" w:eastAsia="Times New Roman" w:hAnsi="Cambria Math"/>
            <w:snapToGrid w:val="0"/>
            <w:color w:val="000000"/>
            <w:szCs w:val="24"/>
            <w:lang w:val="en-US" w:eastAsia="en-US"/>
          </w:rPr>
          <m:t>ϕ=~</m:t>
        </m:r>
      </m:oMath>
      <w:r w:rsidRPr="00BC4B5A">
        <w:rPr>
          <w:rFonts w:eastAsia="Times New Roman"/>
          <w:snapToGrid w:val="0"/>
          <w:color w:val="000000"/>
          <w:szCs w:val="24"/>
          <w:lang w:val="en-US" w:eastAsia="en-US"/>
        </w:rPr>
        <w:t xml:space="preserve">2mm and </w:t>
      </w:r>
      <m:oMath>
        <m:r>
          <w:rPr>
            <w:rFonts w:ascii="Cambria Math" w:eastAsia="Times New Roman" w:hAnsi="Cambria Math"/>
            <w:snapToGrid w:val="0"/>
            <w:color w:val="000000"/>
            <w:szCs w:val="24"/>
            <w:lang w:val="en-US" w:eastAsia="en-US"/>
          </w:rPr>
          <m:t>~</m:t>
        </m:r>
      </m:oMath>
      <w:r w:rsidRPr="00BC4B5A">
        <w:rPr>
          <w:rFonts w:eastAsia="Times New Roman"/>
          <w:snapToGrid w:val="0"/>
          <w:color w:val="000000"/>
          <w:szCs w:val="24"/>
          <w:lang w:val="en-US" w:eastAsia="en-US"/>
        </w:rPr>
        <w:t xml:space="preserve">4.5mm) were prepared by continuous extrusion into a water bath. The speed of a subsequent conveyor belt together with the screw speed enabled us to alter diameters of thin samples. After extrusion, the thin samples were let to free hang under their own weight for about 12 hours at room conditions, to make them straight. Next, materials were cut with a razor blade to the specified length and the cut surfaces were finished with a sand paper (using very fine P220 and super fine P1200 sand paper). </w:t>
      </w:r>
    </w:p>
    <w:p w:rsidR="00BC4B5A" w:rsidRPr="00BC4B5A" w:rsidRDefault="00BC4B5A" w:rsidP="00BC4B5A">
      <w:pPr>
        <w:widowControl w:val="0"/>
        <w:tabs>
          <w:tab w:val="left" w:pos="284"/>
          <w:tab w:val="center" w:pos="4695"/>
        </w:tabs>
        <w:suppressAutoHyphens/>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To remove residual stresses in samples resulting from extrusion, cutting, and gluing, all samples were annealed prior measurements. The start of this procedure was raising the temperature in the commercial dryer (SP105-C, Kambič SP105-C, Slovenia) from room conditions to 90°C. The temperature was held constant for three hours, followed by slow cooling. Cooling was done in two stages, 1st stage was done inside the oven to room conditions, around 20°C, and in the second stage samples were removed from the oven and placed inside insulation box (to assure required rate of cooling) that was placed inside a freezer. Using this procedure temperature of </w:t>
      </w:r>
      <w:r w:rsidRPr="00BC4B5A">
        <w:rPr>
          <w:rFonts w:eastAsia="Calibri Light"/>
          <w:snapToGrid w:val="0"/>
          <w:color w:val="000000"/>
          <w:szCs w:val="24"/>
          <w:lang w:val="en-US" w:eastAsia="en-US"/>
        </w:rPr>
        <w:t>-</w:t>
      </w:r>
      <w:r w:rsidRPr="00BC4B5A">
        <w:rPr>
          <w:rFonts w:eastAsia="Times New Roman"/>
          <w:snapToGrid w:val="0"/>
          <w:color w:val="000000"/>
          <w:szCs w:val="24"/>
          <w:lang w:val="en-US" w:eastAsia="en-US"/>
        </w:rPr>
        <w:t xml:space="preserve">20°C was achieved. During the cooling, the average cooling rate was </w:t>
      </w:r>
      <w:r w:rsidRPr="00BC4B5A">
        <w:rPr>
          <w:rFonts w:eastAsia="Calibri Light"/>
          <w:snapToGrid w:val="0"/>
          <w:color w:val="000000"/>
          <w:szCs w:val="24"/>
          <w:lang w:val="en-US" w:eastAsia="en-US"/>
        </w:rPr>
        <w:t>~</w:t>
      </w:r>
      <w:r w:rsidRPr="00BC4B5A">
        <w:rPr>
          <w:rFonts w:eastAsia="Times New Roman"/>
          <w:snapToGrid w:val="0"/>
          <w:color w:val="000000"/>
          <w:szCs w:val="24"/>
          <w:lang w:val="en-US" w:eastAsia="en-US"/>
        </w:rPr>
        <w:t>0.15°C/min.</w:t>
      </w:r>
    </w:p>
    <w:p w:rsidR="00BC4B5A" w:rsidRPr="00BC4B5A" w:rsidRDefault="00BC4B5A" w:rsidP="00BC4B5A">
      <w:pPr>
        <w:widowControl w:val="0"/>
        <w:spacing w:after="0" w:line="240" w:lineRule="auto"/>
        <w:jc w:val="both"/>
        <w:rPr>
          <w:rFonts w:eastAsia="Times New Roman"/>
          <w:snapToGrid w:val="0"/>
          <w:szCs w:val="24"/>
          <w:lang w:val="en-US" w:eastAsia="en-US"/>
        </w:rPr>
      </w:pPr>
    </w:p>
    <w:p w:rsidR="00BC4B5A" w:rsidRPr="00BC4B5A" w:rsidRDefault="00BC4B5A" w:rsidP="00BC4B5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ja-JP"/>
        </w:rPr>
      </w:pPr>
      <w:r w:rsidRPr="00BC4B5A">
        <w:rPr>
          <w:rFonts w:eastAsia="Times New Roman"/>
          <w:b/>
          <w:i/>
          <w:snapToGrid w:val="0"/>
          <w:szCs w:val="24"/>
          <w:lang w:val="en-US" w:eastAsia="ja-JP"/>
        </w:rPr>
        <w:t xml:space="preserve">2.2 Measuring procedure </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All experiments were conducted on previously described CMS apparatus. For obtaining the </w:t>
      </w:r>
      <w:r w:rsidRPr="00BC4B5A">
        <w:rPr>
          <w:rFonts w:eastAsia="Times New Roman"/>
          <w:i/>
          <w:snapToGrid w:val="0"/>
          <w:color w:val="000000"/>
          <w:szCs w:val="24"/>
          <w:lang w:val="en-US" w:eastAsia="en-US"/>
        </w:rPr>
        <w:t>shear relaxation properties</w:t>
      </w:r>
      <w:r w:rsidRPr="00BC4B5A">
        <w:rPr>
          <w:rFonts w:eastAsia="Times New Roman"/>
          <w:snapToGrid w:val="0"/>
          <w:color w:val="000000"/>
          <w:szCs w:val="24"/>
          <w:lang w:val="en-US" w:eastAsia="en-US"/>
        </w:rPr>
        <w:t xml:space="preserve">, experiments were performed at two different sets of boundary conditions. The </w:t>
      </w:r>
      <w:r w:rsidRPr="00BC4B5A">
        <w:rPr>
          <w:rFonts w:eastAsia="Times New Roman"/>
          <w:i/>
          <w:snapToGrid w:val="0"/>
          <w:color w:val="000000"/>
          <w:szCs w:val="24"/>
          <w:lang w:val="en-US" w:eastAsia="en-US"/>
        </w:rPr>
        <w:t>1st Set</w:t>
      </w:r>
      <w:r w:rsidRPr="00BC4B5A">
        <w:rPr>
          <w:rFonts w:eastAsia="Times New Roman"/>
          <w:snapToGrid w:val="0"/>
          <w:color w:val="000000"/>
          <w:szCs w:val="24"/>
          <w:lang w:val="en-US" w:eastAsia="en-US"/>
        </w:rPr>
        <w:t xml:space="preserve"> of experiments was performed at isobaric conditions (at constant pressure) at </w:t>
      </w:r>
      <w:r w:rsidRPr="00BC4B5A">
        <w:rPr>
          <w:rFonts w:eastAsia="Times New Roman"/>
          <w:i/>
          <w:snapToGrid w:val="0"/>
          <w:color w:val="000000"/>
          <w:szCs w:val="24"/>
          <w:lang w:val="en-US" w:eastAsia="en-US"/>
        </w:rPr>
        <w:t>p</w:t>
      </w:r>
      <w:r w:rsidRPr="00BC4B5A">
        <w:rPr>
          <w:rFonts w:eastAsia="Times New Roman"/>
          <w:snapToGrid w:val="0"/>
          <w:color w:val="000000"/>
          <w:szCs w:val="24"/>
          <w:lang w:val="en-US" w:eastAsia="en-US"/>
        </w:rPr>
        <w:t xml:space="preserve"> = 0.1MPa, at different constant temperatures between </w:t>
      </w:r>
      <w:r w:rsidRPr="00BC4B5A">
        <w:rPr>
          <w:rFonts w:eastAsia="Calibri Light"/>
          <w:snapToGrid w:val="0"/>
          <w:color w:val="000000"/>
          <w:szCs w:val="24"/>
          <w:lang w:val="en-US" w:eastAsia="en-US"/>
        </w:rPr>
        <w:t>-</w:t>
      </w:r>
      <w:r w:rsidRPr="00BC4B5A">
        <w:rPr>
          <w:rFonts w:eastAsia="Times New Roman"/>
          <w:snapToGrid w:val="0"/>
          <w:color w:val="000000"/>
          <w:szCs w:val="24"/>
          <w:lang w:val="en-US" w:eastAsia="en-US"/>
        </w:rPr>
        <w:t xml:space="preserve">20 to 60°C. The exact temperatures are provided within diagrams. The </w:t>
      </w:r>
      <w:r w:rsidRPr="00BC4B5A">
        <w:rPr>
          <w:rFonts w:eastAsia="Times New Roman"/>
          <w:i/>
          <w:snapToGrid w:val="0"/>
          <w:color w:val="000000"/>
          <w:szCs w:val="24"/>
          <w:lang w:val="en-US" w:eastAsia="en-US"/>
        </w:rPr>
        <w:t>2nd Set</w:t>
      </w:r>
      <w:r w:rsidRPr="00BC4B5A">
        <w:rPr>
          <w:rFonts w:eastAsia="Times New Roman"/>
          <w:snapToGrid w:val="0"/>
          <w:color w:val="000000"/>
          <w:szCs w:val="24"/>
          <w:lang w:val="en-US" w:eastAsia="en-US"/>
        </w:rPr>
        <w:t xml:space="preserve"> of experiments was performed at isothermal conditions (at constant temperature) at </w:t>
      </w:r>
      <w:r w:rsidRPr="00BC4B5A">
        <w:rPr>
          <w:rFonts w:eastAsia="Times New Roman"/>
          <w:i/>
          <w:snapToGrid w:val="0"/>
          <w:color w:val="000000"/>
          <w:szCs w:val="24"/>
          <w:lang w:val="en-US" w:eastAsia="en-US"/>
        </w:rPr>
        <w:t>T</w:t>
      </w:r>
      <w:r w:rsidRPr="00BC4B5A">
        <w:rPr>
          <w:rFonts w:eastAsia="Times New Roman"/>
          <w:snapToGrid w:val="0"/>
          <w:color w:val="000000"/>
          <w:szCs w:val="24"/>
          <w:lang w:val="en-US" w:eastAsia="en-US"/>
        </w:rPr>
        <w:t xml:space="preserve"> = </w:t>
      </w:r>
      <w:r w:rsidRPr="00BC4B5A">
        <w:rPr>
          <w:rFonts w:eastAsia="Calibri Light"/>
          <w:snapToGrid w:val="0"/>
          <w:color w:val="000000"/>
          <w:szCs w:val="24"/>
          <w:lang w:val="en-US" w:eastAsia="en-US"/>
        </w:rPr>
        <w:t>-</w:t>
      </w:r>
      <w:r w:rsidRPr="00BC4B5A">
        <w:rPr>
          <w:rFonts w:eastAsia="Times New Roman"/>
          <w:snapToGrid w:val="0"/>
          <w:color w:val="000000"/>
          <w:szCs w:val="24"/>
          <w:lang w:val="en-US" w:eastAsia="en-US"/>
        </w:rPr>
        <w:t xml:space="preserve">20°C, at different constant pressures ranging between 0.1 and 300MPa. Figure 4 schematically shows boundary conditions of both sets of experiments, while the corresponding temperature and the pressure loading profiles for each of the three TPU's are presented in Figure 5. </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In all experiments, each loading step consists of 3 hours stabilization time and 1000s (~ 15min) measuring time. All experiments started at conditions where material is closer to glassy state, i.e., at lowest temperature for the </w:t>
      </w:r>
      <w:r w:rsidRPr="00BC4B5A">
        <w:rPr>
          <w:rFonts w:eastAsia="Times New Roman"/>
          <w:i/>
          <w:snapToGrid w:val="0"/>
          <w:color w:val="000000"/>
          <w:szCs w:val="24"/>
          <w:lang w:val="en-US" w:eastAsia="en-US"/>
        </w:rPr>
        <w:t>1</w:t>
      </w:r>
      <w:r w:rsidRPr="00BC4B5A">
        <w:rPr>
          <w:rFonts w:eastAsia="Times New Roman"/>
          <w:i/>
          <w:snapToGrid w:val="0"/>
          <w:color w:val="000000"/>
          <w:szCs w:val="24"/>
          <w:vertAlign w:val="superscript"/>
          <w:lang w:val="en-US" w:eastAsia="en-US"/>
        </w:rPr>
        <w:t>st</w:t>
      </w:r>
      <w:r w:rsidRPr="00BC4B5A">
        <w:rPr>
          <w:rFonts w:eastAsia="Times New Roman"/>
          <w:i/>
          <w:snapToGrid w:val="0"/>
          <w:color w:val="000000"/>
          <w:szCs w:val="24"/>
          <w:lang w:val="en-US" w:eastAsia="en-US"/>
        </w:rPr>
        <w:t xml:space="preserve"> Set</w:t>
      </w:r>
      <w:r w:rsidRPr="00BC4B5A">
        <w:rPr>
          <w:rFonts w:eastAsia="Times New Roman"/>
          <w:snapToGrid w:val="0"/>
          <w:color w:val="000000"/>
          <w:szCs w:val="24"/>
          <w:lang w:val="en-US" w:eastAsia="en-US"/>
        </w:rPr>
        <w:t xml:space="preserve"> and at highest pressure for the </w:t>
      </w:r>
      <w:r w:rsidRPr="00BC4B5A">
        <w:rPr>
          <w:rFonts w:eastAsia="Times New Roman"/>
          <w:i/>
          <w:snapToGrid w:val="0"/>
          <w:color w:val="000000"/>
          <w:szCs w:val="24"/>
          <w:lang w:val="en-US" w:eastAsia="en-US"/>
        </w:rPr>
        <w:t>2</w:t>
      </w:r>
      <w:r w:rsidRPr="00BC4B5A">
        <w:rPr>
          <w:rFonts w:eastAsia="Times New Roman"/>
          <w:i/>
          <w:snapToGrid w:val="0"/>
          <w:color w:val="000000"/>
          <w:szCs w:val="24"/>
          <w:vertAlign w:val="superscript"/>
          <w:lang w:val="en-US" w:eastAsia="en-US"/>
        </w:rPr>
        <w:t>nd</w:t>
      </w:r>
      <w:r w:rsidRPr="00BC4B5A">
        <w:rPr>
          <w:rFonts w:eastAsia="Times New Roman"/>
          <w:i/>
          <w:snapToGrid w:val="0"/>
          <w:color w:val="000000"/>
          <w:szCs w:val="24"/>
          <w:lang w:val="en-US" w:eastAsia="en-US"/>
        </w:rPr>
        <w:t xml:space="preserve"> Set</w:t>
      </w:r>
      <w:r w:rsidRPr="00BC4B5A">
        <w:rPr>
          <w:rFonts w:eastAsia="Times New Roman"/>
          <w:snapToGrid w:val="0"/>
          <w:color w:val="000000"/>
          <w:szCs w:val="24"/>
          <w:lang w:val="en-US" w:eastAsia="en-US"/>
        </w:rPr>
        <w:t xml:space="preserve"> of experiments. In all cases at least three repetitions of measurements were performed, where for each repetition different sample was used. After averaging segments measured at the same boundary conditions, we have applied the Closed Form Shifting algorithm to create the shear relaxation, </w:t>
      </w:r>
      <w:r w:rsidRPr="00BC4B5A">
        <w:rPr>
          <w:rFonts w:eastAsia="Times New Roman"/>
          <w:i/>
          <w:snapToGrid w:val="0"/>
          <w:color w:val="000000"/>
          <w:szCs w:val="24"/>
          <w:lang w:val="en-US" w:eastAsia="en-US"/>
        </w:rPr>
        <w:t>G</w:t>
      </w:r>
      <w:r w:rsidRPr="00BC4B5A">
        <w:rPr>
          <w:rFonts w:eastAsia="Times New Roman"/>
          <w:snapToGrid w:val="0"/>
          <w:color w:val="000000"/>
          <w:szCs w:val="24"/>
          <w:lang w:val="en-US" w:eastAsia="en-US"/>
        </w:rPr>
        <w:t>(</w:t>
      </w:r>
      <w:r w:rsidRPr="00BC4B5A">
        <w:rPr>
          <w:rFonts w:eastAsia="Times New Roman"/>
          <w:i/>
          <w:snapToGrid w:val="0"/>
          <w:color w:val="000000"/>
          <w:szCs w:val="24"/>
          <w:lang w:val="en-US" w:eastAsia="en-US"/>
        </w:rPr>
        <w:t>t</w:t>
      </w:r>
      <w:r w:rsidRPr="00BC4B5A">
        <w:rPr>
          <w:rFonts w:eastAsia="Times New Roman"/>
          <w:snapToGrid w:val="0"/>
          <w:color w:val="000000"/>
          <w:szCs w:val="24"/>
          <w:lang w:val="en-US" w:eastAsia="en-US"/>
        </w:rPr>
        <w:t xml:space="preserve">) mastercurves. The latter were then interconverted into the frequency domain, to obtain the storage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and the loss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moduli for the three examined materials.</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center"/>
        <w:rPr>
          <w:rFonts w:eastAsia="Times New Roman"/>
          <w:snapToGrid w:val="0"/>
          <w:color w:val="000000"/>
          <w:sz w:val="24"/>
          <w:szCs w:val="24"/>
          <w:lang w:val="en-GB" w:eastAsia="ja-JP"/>
        </w:rPr>
      </w:pPr>
      <w:r w:rsidRPr="00BC4B5A">
        <w:rPr>
          <w:rFonts w:eastAsia="Times New Roman"/>
          <w:noProof/>
          <w:snapToGrid w:val="0"/>
          <w:color w:val="000000"/>
          <w:sz w:val="24"/>
          <w:szCs w:val="24"/>
        </w:rPr>
        <w:drawing>
          <wp:inline distT="0" distB="0" distL="0" distR="0" wp14:anchorId="70424009" wp14:editId="389F87A4">
            <wp:extent cx="2985805" cy="2266136"/>
            <wp:effectExtent l="0" t="0" r="1143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550" cy="2283398"/>
                    </a:xfrm>
                    <a:prstGeom prst="rect">
                      <a:avLst/>
                    </a:prstGeom>
                    <a:noFill/>
                    <a:ln>
                      <a:noFill/>
                    </a:ln>
                  </pic:spPr>
                </pic:pic>
              </a:graphicData>
            </a:graphic>
          </wp:inline>
        </w:drawing>
      </w:r>
    </w:p>
    <w:p w:rsidR="00BC4B5A" w:rsidRPr="00BC4B5A" w:rsidRDefault="00BC4B5A" w:rsidP="00BC4B5A">
      <w:pPr>
        <w:widowControl w:val="0"/>
        <w:spacing w:after="0" w:line="240" w:lineRule="auto"/>
        <w:jc w:val="both"/>
        <w:rPr>
          <w:rFonts w:eastAsia="Times New Roman"/>
          <w:snapToGrid w:val="0"/>
          <w:color w:val="000000"/>
          <w:szCs w:val="24"/>
          <w:lang w:eastAsia="en-US"/>
        </w:rPr>
      </w:pP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z w:val="20"/>
          <w:szCs w:val="24"/>
          <w:lang w:val="en-US" w:eastAsia="en-US"/>
        </w:rPr>
        <w:t>Figure 4. Boundary conditions for determining shear relaxation properties and pressure sensitivity of selected materials.</w:t>
      </w:r>
    </w:p>
    <w:p w:rsidR="00BC4B5A" w:rsidRPr="00BC4B5A" w:rsidRDefault="00BC4B5A" w:rsidP="00BC4B5A">
      <w:pPr>
        <w:widowControl w:val="0"/>
        <w:spacing w:after="0" w:line="240" w:lineRule="auto"/>
        <w:jc w:val="both"/>
        <w:rPr>
          <w:rFonts w:eastAsia="Times New Roman"/>
          <w:snapToGrid w:val="0"/>
          <w:szCs w:val="24"/>
          <w:lang w:val="en-US" w:eastAsia="en-US"/>
        </w:rPr>
      </w:pPr>
    </w:p>
    <w:p w:rsidR="00BC4B5A" w:rsidRPr="00BC4B5A" w:rsidRDefault="00BC4B5A" w:rsidP="00BC4B5A">
      <w:pPr>
        <w:widowControl w:val="0"/>
        <w:autoSpaceDE w:val="0"/>
        <w:autoSpaceDN w:val="0"/>
        <w:adjustRightInd w:val="0"/>
        <w:spacing w:after="0" w:line="240" w:lineRule="auto"/>
        <w:jc w:val="center"/>
        <w:rPr>
          <w:rFonts w:eastAsia="Times New Roman"/>
          <w:snapToGrid w:val="0"/>
          <w:color w:val="000000"/>
          <w:sz w:val="24"/>
          <w:szCs w:val="24"/>
          <w:lang w:val="en-GB" w:eastAsia="ja-JP"/>
        </w:rPr>
      </w:pPr>
      <w:r w:rsidRPr="00BC4B5A">
        <w:rPr>
          <w:rFonts w:eastAsia="Times New Roman"/>
          <w:noProof/>
          <w:snapToGrid w:val="0"/>
          <w:color w:val="000000"/>
          <w:sz w:val="24"/>
          <w:szCs w:val="24"/>
        </w:rPr>
        <w:lastRenderedPageBreak/>
        <w:drawing>
          <wp:inline distT="0" distB="0" distL="0" distR="0" wp14:anchorId="3EA16988" wp14:editId="515A5D19">
            <wp:extent cx="2987957" cy="4657789"/>
            <wp:effectExtent l="0" t="0" r="952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881" cy="4679495"/>
                    </a:xfrm>
                    <a:prstGeom prst="rect">
                      <a:avLst/>
                    </a:prstGeom>
                    <a:noFill/>
                    <a:ln>
                      <a:noFill/>
                    </a:ln>
                  </pic:spPr>
                </pic:pic>
              </a:graphicData>
            </a:graphic>
          </wp:inline>
        </w:drawing>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 w:val="24"/>
          <w:szCs w:val="24"/>
          <w:lang w:val="en-GB" w:eastAsia="ja-JP"/>
        </w:rPr>
      </w:pP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z w:val="20"/>
          <w:szCs w:val="24"/>
          <w:lang w:val="en-US" w:eastAsia="en-US"/>
        </w:rPr>
        <w:t>Figure 5. Temperature/pressure loading profiles for individual materials used in shear relaxation experiments.</w:t>
      </w:r>
    </w:p>
    <w:p w:rsidR="00BC4B5A" w:rsidRPr="00BC4B5A" w:rsidRDefault="00BC4B5A" w:rsidP="00BC4B5A">
      <w:pPr>
        <w:widowControl w:val="0"/>
        <w:spacing w:after="0" w:line="240" w:lineRule="auto"/>
        <w:ind w:left="1008" w:hanging="1008"/>
        <w:jc w:val="both"/>
        <w:outlineLvl w:val="4"/>
        <w:rPr>
          <w:rFonts w:eastAsia="Times New Roman"/>
          <w:b/>
          <w:bCs/>
          <w:snapToGrid w:val="0"/>
          <w:sz w:val="20"/>
          <w:szCs w:val="24"/>
          <w:lang w:val="tr-TR" w:eastAsia="en-US"/>
        </w:rPr>
      </w:pPr>
    </w:p>
    <w:p w:rsidR="00BC4B5A" w:rsidRPr="00BC4B5A" w:rsidRDefault="00BC4B5A" w:rsidP="00BC4B5A">
      <w:pPr>
        <w:widowControl w:val="0"/>
        <w:spacing w:after="0" w:line="240" w:lineRule="auto"/>
        <w:jc w:val="both"/>
        <w:rPr>
          <w:rFonts w:eastAsia="Times New Roman"/>
          <w:snapToGrid w:val="0"/>
          <w:szCs w:val="24"/>
          <w:lang w:val="en-US" w:eastAsia="en-US"/>
        </w:rPr>
      </w:pPr>
    </w:p>
    <w:p w:rsidR="00BC4B5A" w:rsidRPr="00BC4B5A" w:rsidRDefault="00BC4B5A" w:rsidP="00BC4B5A">
      <w:pPr>
        <w:keepNext/>
        <w:spacing w:after="0" w:line="240" w:lineRule="auto"/>
        <w:jc w:val="both"/>
        <w:outlineLvl w:val="0"/>
        <w:rPr>
          <w:rFonts w:eastAsia="Calibri"/>
          <w:b/>
          <w:caps/>
          <w:snapToGrid w:val="0"/>
          <w:szCs w:val="24"/>
          <w:lang w:val="en-US" w:eastAsia="ja-JP" w:bidi="en-US"/>
        </w:rPr>
      </w:pPr>
      <w:r w:rsidRPr="00BC4B5A">
        <w:rPr>
          <w:rFonts w:eastAsia="Calibri"/>
          <w:b/>
          <w:caps/>
          <w:snapToGrid w:val="0"/>
          <w:szCs w:val="24"/>
          <w:lang w:val="en-US" w:eastAsia="ja-JP" w:bidi="en-US"/>
        </w:rPr>
        <w:t xml:space="preserve">2. RESULTS AND DISCUSSION </w:t>
      </w:r>
    </w:p>
    <w:p w:rsidR="00BC4B5A" w:rsidRPr="00BC4B5A" w:rsidRDefault="00BC4B5A" w:rsidP="00BC4B5A">
      <w:pPr>
        <w:widowControl w:val="0"/>
        <w:spacing w:after="0" w:line="240" w:lineRule="auto"/>
        <w:jc w:val="both"/>
        <w:rPr>
          <w:rFonts w:eastAsia="Times New Roman"/>
          <w:snapToGrid w:val="0"/>
          <w:szCs w:val="24"/>
          <w:lang w:val="en-US" w:eastAsia="ja-JP" w:bidi="en-US"/>
        </w:rPr>
      </w:pP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To model the effect of pressure, we have used the FMT model, proposed by Fillers, Moonan and Tschoegl </w:t>
      </w:r>
      <w:r w:rsidRPr="00BC4B5A">
        <w:rPr>
          <w:rFonts w:eastAsia="Times New Roman"/>
          <w:snapToGrid w:val="0"/>
          <w:szCs w:val="24"/>
          <w:lang w:val="en-US" w:eastAsia="en-US"/>
        </w:rPr>
        <w:t>[13-15]</w:t>
      </w:r>
      <w:r w:rsidRPr="00BC4B5A">
        <w:rPr>
          <w:rFonts w:eastAsia="Times New Roman"/>
          <w:snapToGrid w:val="0"/>
          <w:color w:val="000000"/>
          <w:szCs w:val="24"/>
          <w:lang w:val="en-US" w:eastAsia="en-US"/>
        </w:rPr>
        <w:t>. The FMT model can be viewed as an extension of the WLF equation to account for the effect of pressure in addition to that of temperature. The shift factor as function of temperature and pressure is given in the form:</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4F662B" w:rsidP="00BC4B5A">
      <w:pPr>
        <w:widowControl w:val="0"/>
        <w:tabs>
          <w:tab w:val="right" w:pos="4678"/>
        </w:tabs>
        <w:spacing w:after="0" w:line="240" w:lineRule="auto"/>
        <w:jc w:val="both"/>
        <w:rPr>
          <w:rFonts w:eastAsia="Times New Roman"/>
          <w:snapToGrid w:val="0"/>
          <w:color w:val="000000"/>
          <w:szCs w:val="24"/>
          <w:lang w:val="en-US" w:eastAsia="en-US"/>
        </w:rPr>
      </w:pPr>
      <m:oMath>
        <m:func>
          <m:funcPr>
            <m:ctrlPr>
              <w:rPr>
                <w:rFonts w:ascii="Cambria Math" w:eastAsia="Times New Roman" w:hAnsi="Cambria Math"/>
                <w:i/>
                <w:snapToGrid w:val="0"/>
                <w:color w:val="000000"/>
                <w:szCs w:val="24"/>
                <w:lang w:val="en-US" w:eastAsia="en-US"/>
              </w:rPr>
            </m:ctrlPr>
          </m:funcPr>
          <m:fName>
            <m:r>
              <m:rPr>
                <m:sty m:val="p"/>
              </m:rPr>
              <w:rPr>
                <w:rFonts w:ascii="Cambria Math" w:eastAsia="Times New Roman" w:hAnsi="Cambria Math"/>
                <w:snapToGrid w:val="0"/>
                <w:color w:val="000000"/>
                <w:szCs w:val="24"/>
                <w:lang w:val="en-US" w:eastAsia="en-US"/>
              </w:rPr>
              <m:t>log</m:t>
            </m:r>
          </m:fName>
          <m:e>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a</m:t>
                </m:r>
              </m:e>
              <m:sub>
                <m:r>
                  <w:rPr>
                    <w:rFonts w:ascii="Cambria Math" w:eastAsia="Times New Roman" w:hAnsi="Cambria Math"/>
                    <w:snapToGrid w:val="0"/>
                    <w:color w:val="000000"/>
                    <w:szCs w:val="24"/>
                    <w:lang w:val="en-US" w:eastAsia="en-US"/>
                  </w:rPr>
                  <m:t>T,p</m:t>
                </m:r>
              </m:sub>
            </m:sSub>
            <m:r>
              <w:rPr>
                <w:rFonts w:ascii="Cambria Math" w:eastAsia="Times New Roman" w:hAnsi="Cambria Math"/>
                <w:snapToGrid w:val="0"/>
                <w:color w:val="000000"/>
                <w:szCs w:val="24"/>
                <w:lang w:val="en-US" w:eastAsia="en-US"/>
              </w:rPr>
              <m:t>=-</m:t>
            </m:r>
            <m:f>
              <m:fPr>
                <m:ctrlPr>
                  <w:rPr>
                    <w:rFonts w:ascii="Cambria Math" w:eastAsia="Times New Roman" w:hAnsi="Cambria Math"/>
                    <w:i/>
                    <w:snapToGrid w:val="0"/>
                    <w:color w:val="000000"/>
                    <w:szCs w:val="24"/>
                    <w:lang w:val="en-US" w:eastAsia="en-US"/>
                  </w:rPr>
                </m:ctrlPr>
              </m:fPr>
              <m:num>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C</m:t>
                    </m:r>
                  </m:e>
                  <m:sub>
                    <m:r>
                      <w:rPr>
                        <w:rFonts w:ascii="Cambria Math" w:eastAsia="Times New Roman" w:hAnsi="Cambria Math"/>
                        <w:snapToGrid w:val="0"/>
                        <w:color w:val="000000"/>
                        <w:szCs w:val="24"/>
                        <w:lang w:val="en-US" w:eastAsia="en-US"/>
                      </w:rPr>
                      <m:t>1</m:t>
                    </m:r>
                  </m:sub>
                  <m:sup>
                    <m:r>
                      <w:rPr>
                        <w:rFonts w:ascii="Cambria Math" w:eastAsia="Times New Roman" w:hAnsi="Cambria Math"/>
                        <w:snapToGrid w:val="0"/>
                        <w:color w:val="000000"/>
                        <w:szCs w:val="24"/>
                        <w:lang w:val="en-US" w:eastAsia="en-US"/>
                      </w:rPr>
                      <m:t>00</m:t>
                    </m:r>
                  </m:sup>
                </m:sSubSup>
                <m:d>
                  <m:dPr>
                    <m:begChr m:val="["/>
                    <m:endChr m:val="]"/>
                    <m:ctrlPr>
                      <w:rPr>
                        <w:rFonts w:ascii="Cambria Math" w:eastAsia="Times New Roman" w:hAnsi="Cambria Math"/>
                        <w:i/>
                        <w:snapToGrid w:val="0"/>
                        <w:color w:val="000000"/>
                        <w:szCs w:val="24"/>
                        <w:lang w:val="en-US" w:eastAsia="en-US"/>
                      </w:rPr>
                    </m:ctrlPr>
                  </m:dPr>
                  <m:e>
                    <m:r>
                      <w:rPr>
                        <w:rFonts w:ascii="Cambria Math" w:eastAsia="Times New Roman" w:hAnsi="Cambria Math"/>
                        <w:snapToGrid w:val="0"/>
                        <w:color w:val="000000"/>
                        <w:szCs w:val="24"/>
                        <w:lang w:val="en-US" w:eastAsia="en-US"/>
                      </w:rPr>
                      <m:t>T-</m:t>
                    </m:r>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T</m:t>
                        </m:r>
                      </m:e>
                      <m:sub>
                        <m:r>
                          <w:rPr>
                            <w:rFonts w:ascii="Cambria Math" w:eastAsia="Times New Roman" w:hAnsi="Cambria Math"/>
                            <w:snapToGrid w:val="0"/>
                            <w:color w:val="000000"/>
                            <w:szCs w:val="24"/>
                            <w:lang w:val="en-US" w:eastAsia="en-US"/>
                          </w:rPr>
                          <m:t>0</m:t>
                        </m:r>
                      </m:sub>
                    </m:sSub>
                    <m:r>
                      <w:rPr>
                        <w:rFonts w:ascii="Cambria Math" w:eastAsia="Times New Roman" w:hAnsi="Cambria Math"/>
                        <w:snapToGrid w:val="0"/>
                        <w:color w:val="000000"/>
                        <w:szCs w:val="24"/>
                        <w:lang w:val="en-US" w:eastAsia="en-US"/>
                      </w:rPr>
                      <m:t>-θ(p)</m:t>
                    </m:r>
                  </m:e>
                </m:d>
              </m:num>
              <m:den>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C</m:t>
                    </m:r>
                  </m:e>
                  <m:sub>
                    <m:r>
                      <w:rPr>
                        <w:rFonts w:ascii="Cambria Math" w:eastAsia="Times New Roman" w:hAnsi="Cambria Math"/>
                        <w:snapToGrid w:val="0"/>
                        <w:color w:val="000000"/>
                        <w:szCs w:val="24"/>
                        <w:lang w:val="en-US" w:eastAsia="en-US"/>
                      </w:rPr>
                      <m:t>2</m:t>
                    </m:r>
                  </m:sub>
                  <m:sup>
                    <m:r>
                      <w:rPr>
                        <w:rFonts w:ascii="Cambria Math" w:eastAsia="Times New Roman" w:hAnsi="Cambria Math"/>
                        <w:snapToGrid w:val="0"/>
                        <w:color w:val="000000"/>
                        <w:szCs w:val="24"/>
                        <w:lang w:val="en-US" w:eastAsia="en-US"/>
                      </w:rPr>
                      <m:t>00</m:t>
                    </m:r>
                  </m:sup>
                </m:sSubSup>
                <m:d>
                  <m:dPr>
                    <m:ctrlPr>
                      <w:rPr>
                        <w:rFonts w:ascii="Cambria Math" w:eastAsia="Times New Roman" w:hAnsi="Cambria Math"/>
                        <w:i/>
                        <w:snapToGrid w:val="0"/>
                        <w:color w:val="000000"/>
                        <w:szCs w:val="24"/>
                        <w:lang w:val="en-US" w:eastAsia="en-US"/>
                      </w:rPr>
                    </m:ctrlPr>
                  </m:dPr>
                  <m:e>
                    <m:r>
                      <w:rPr>
                        <w:rFonts w:ascii="Cambria Math" w:eastAsia="Times New Roman" w:hAnsi="Cambria Math"/>
                        <w:snapToGrid w:val="0"/>
                        <w:color w:val="000000"/>
                        <w:szCs w:val="24"/>
                        <w:lang w:val="en-US" w:eastAsia="en-US"/>
                      </w:rPr>
                      <m:t>p</m:t>
                    </m:r>
                  </m:e>
                </m:d>
                <m:r>
                  <w:rPr>
                    <w:rFonts w:ascii="Cambria Math" w:eastAsia="Times New Roman" w:hAnsi="Cambria Math"/>
                    <w:snapToGrid w:val="0"/>
                    <w:color w:val="000000"/>
                    <w:szCs w:val="24"/>
                    <w:lang w:val="en-US" w:eastAsia="en-US"/>
                  </w:rPr>
                  <m:t>+T-</m:t>
                </m:r>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T</m:t>
                    </m:r>
                  </m:e>
                  <m:sub>
                    <m:r>
                      <w:rPr>
                        <w:rFonts w:ascii="Cambria Math" w:eastAsia="Times New Roman" w:hAnsi="Cambria Math"/>
                        <w:snapToGrid w:val="0"/>
                        <w:color w:val="000000"/>
                        <w:szCs w:val="24"/>
                        <w:lang w:val="en-US" w:eastAsia="en-US"/>
                      </w:rPr>
                      <m:t>0</m:t>
                    </m:r>
                  </m:sub>
                </m:sSub>
                <m:r>
                  <w:rPr>
                    <w:rFonts w:ascii="Cambria Math" w:eastAsia="Times New Roman" w:hAnsi="Cambria Math"/>
                    <w:snapToGrid w:val="0"/>
                    <w:color w:val="000000"/>
                    <w:szCs w:val="24"/>
                    <w:lang w:val="en-US" w:eastAsia="en-US"/>
                  </w:rPr>
                  <m:t>-θ(p)</m:t>
                </m:r>
              </m:den>
            </m:f>
          </m:e>
        </m:func>
      </m:oMath>
      <w:r w:rsidR="00BC4B5A" w:rsidRPr="00BC4B5A">
        <w:rPr>
          <w:rFonts w:eastAsia="Times New Roman"/>
          <w:snapToGrid w:val="0"/>
          <w:color w:val="000000"/>
          <w:szCs w:val="24"/>
          <w:lang w:val="en-US" w:eastAsia="en-US"/>
        </w:rPr>
        <w:t xml:space="preserve"> </w:t>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t>(1)</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r w:rsidRPr="00BC4B5A">
        <w:rPr>
          <w:rFonts w:eastAsia="Times New Roman"/>
          <w:snapToGrid w:val="0"/>
          <w:szCs w:val="24"/>
          <w:lang w:val="en-US" w:eastAsia="en-US"/>
        </w:rPr>
        <w:t>where</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m:oMath>
        <m:r>
          <w:rPr>
            <w:rFonts w:ascii="Cambria Math" w:eastAsia="Times New Roman" w:hAnsi="Cambria Math"/>
            <w:snapToGrid w:val="0"/>
            <w:szCs w:val="24"/>
            <w:lang w:val="en-US" w:eastAsia="en-US"/>
          </w:rPr>
          <m:t>θ</m:t>
        </m:r>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p</m:t>
            </m:r>
          </m:e>
        </m:d>
        <m:r>
          <w:rPr>
            <w:rFonts w:ascii="Cambria Math" w:eastAsia="Times New Roman" w:hAnsi="Cambria Math"/>
            <w:snapToGrid w:val="0"/>
            <w:szCs w:val="24"/>
            <w:lang w:val="en-US" w:eastAsia="en-US"/>
          </w:rPr>
          <m:t>=</m:t>
        </m:r>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3</m:t>
            </m:r>
          </m:sub>
          <m:sup>
            <m:r>
              <w:rPr>
                <w:rFonts w:ascii="Cambria Math" w:eastAsia="Times New Roman" w:hAnsi="Cambria Math"/>
                <w:snapToGrid w:val="0"/>
                <w:szCs w:val="24"/>
                <w:lang w:val="en-US" w:eastAsia="en-US"/>
              </w:rPr>
              <m:t>0</m:t>
            </m:r>
          </m:sup>
        </m:sSubSup>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p</m:t>
            </m:r>
          </m:e>
        </m:d>
        <m:func>
          <m:funcPr>
            <m:ctrlPr>
              <w:rPr>
                <w:rFonts w:ascii="Cambria Math" w:eastAsia="Times New Roman" w:hAnsi="Cambria Math"/>
                <w:i/>
                <w:snapToGrid w:val="0"/>
                <w:szCs w:val="24"/>
                <w:lang w:val="en-US" w:eastAsia="en-US"/>
              </w:rPr>
            </m:ctrlPr>
          </m:funcPr>
          <m:fName>
            <m:r>
              <m:rPr>
                <m:sty m:val="p"/>
              </m:rPr>
              <w:rPr>
                <w:rFonts w:ascii="Cambria Math" w:eastAsia="Times New Roman" w:hAnsi="Cambria Math"/>
                <w:snapToGrid w:val="0"/>
                <w:szCs w:val="24"/>
                <w:lang w:val="en-US" w:eastAsia="en-US"/>
              </w:rPr>
              <m:t>ln</m:t>
            </m:r>
          </m:fName>
          <m:e>
            <m:d>
              <m:dPr>
                <m:ctrlPr>
                  <w:rPr>
                    <w:rFonts w:ascii="Cambria Math" w:eastAsia="Times New Roman" w:hAnsi="Cambria Math"/>
                    <w:i/>
                    <w:snapToGrid w:val="0"/>
                    <w:szCs w:val="24"/>
                    <w:lang w:val="en-US" w:eastAsia="en-US"/>
                  </w:rPr>
                </m:ctrlPr>
              </m:dPr>
              <m:e>
                <m:f>
                  <m:fPr>
                    <m:ctrlPr>
                      <w:rPr>
                        <w:rFonts w:ascii="Cambria Math" w:eastAsia="Times New Roman" w:hAnsi="Cambria Math"/>
                        <w:i/>
                        <w:snapToGrid w:val="0"/>
                        <w:szCs w:val="24"/>
                        <w:lang w:val="en-US" w:eastAsia="en-US"/>
                      </w:rPr>
                    </m:ctrlPr>
                  </m:fPr>
                  <m:num>
                    <m:r>
                      <w:rPr>
                        <w:rFonts w:ascii="Cambria Math" w:eastAsia="Times New Roman" w:hAnsi="Cambria Math"/>
                        <w:snapToGrid w:val="0"/>
                        <w:szCs w:val="24"/>
                        <w:lang w:val="en-US" w:eastAsia="en-US"/>
                      </w:rPr>
                      <m:t>1+</m:t>
                    </m:r>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4</m:t>
                        </m:r>
                      </m:sub>
                      <m:sup>
                        <m:r>
                          <w:rPr>
                            <w:rFonts w:ascii="Cambria Math" w:eastAsia="Times New Roman" w:hAnsi="Cambria Math"/>
                            <w:snapToGrid w:val="0"/>
                            <w:szCs w:val="24"/>
                            <w:lang w:val="en-US" w:eastAsia="en-US"/>
                          </w:rPr>
                          <m:t>0</m:t>
                        </m:r>
                      </m:sup>
                    </m:sSubSup>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p</m:t>
                        </m:r>
                      </m:e>
                    </m:d>
                  </m:num>
                  <m:den>
                    <m:r>
                      <w:rPr>
                        <w:rFonts w:ascii="Cambria Math" w:eastAsia="Times New Roman" w:hAnsi="Cambria Math"/>
                        <w:snapToGrid w:val="0"/>
                        <w:szCs w:val="24"/>
                        <w:lang w:val="en-US" w:eastAsia="en-US"/>
                      </w:rPr>
                      <m:t>1+</m:t>
                    </m:r>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4</m:t>
                        </m:r>
                      </m:sub>
                      <m:sup>
                        <m:r>
                          <w:rPr>
                            <w:rFonts w:ascii="Cambria Math" w:eastAsia="Times New Roman" w:hAnsi="Cambria Math"/>
                            <w:snapToGrid w:val="0"/>
                            <w:szCs w:val="24"/>
                            <w:lang w:val="en-US" w:eastAsia="en-US"/>
                          </w:rPr>
                          <m:t>0</m:t>
                        </m:r>
                      </m:sup>
                    </m:sSubSup>
                    <m:d>
                      <m:dPr>
                        <m:ctrlPr>
                          <w:rPr>
                            <w:rFonts w:ascii="Cambria Math" w:eastAsia="Times New Roman" w:hAnsi="Cambria Math"/>
                            <w:i/>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p</m:t>
                            </m:r>
                          </m:e>
                          <m:sub>
                            <m:r>
                              <w:rPr>
                                <w:rFonts w:ascii="Cambria Math" w:eastAsia="Times New Roman" w:hAnsi="Cambria Math"/>
                                <w:snapToGrid w:val="0"/>
                                <w:szCs w:val="24"/>
                                <w:lang w:val="en-US" w:eastAsia="en-US"/>
                              </w:rPr>
                              <m:t>0</m:t>
                            </m:r>
                          </m:sub>
                        </m:sSub>
                      </m:e>
                    </m:d>
                  </m:den>
                </m:f>
              </m:e>
            </m:d>
          </m:e>
        </m:func>
        <m:r>
          <w:rPr>
            <w:rFonts w:ascii="Cambria Math" w:eastAsia="Times New Roman" w:hAnsi="Cambria Math"/>
            <w:snapToGrid w:val="0"/>
            <w:szCs w:val="24"/>
            <w:lang w:val="en-US" w:eastAsia="en-US"/>
          </w:rPr>
          <m:t>-</m:t>
        </m:r>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5</m:t>
            </m:r>
          </m:sub>
          <m:sup>
            <m:r>
              <w:rPr>
                <w:rFonts w:ascii="Cambria Math" w:eastAsia="Times New Roman" w:hAnsi="Cambria Math"/>
                <w:snapToGrid w:val="0"/>
                <w:szCs w:val="24"/>
                <w:lang w:val="en-US" w:eastAsia="en-US"/>
              </w:rPr>
              <m:t>0</m:t>
            </m:r>
          </m:sup>
        </m:sSubSup>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p</m:t>
            </m:r>
          </m:e>
        </m:d>
        <m:func>
          <m:funcPr>
            <m:ctrlPr>
              <w:rPr>
                <w:rFonts w:ascii="Cambria Math" w:eastAsia="Times New Roman" w:hAnsi="Cambria Math"/>
                <w:i/>
                <w:snapToGrid w:val="0"/>
                <w:szCs w:val="24"/>
                <w:lang w:val="en-US" w:eastAsia="en-US"/>
              </w:rPr>
            </m:ctrlPr>
          </m:funcPr>
          <m:fName>
            <m:r>
              <m:rPr>
                <m:sty m:val="p"/>
              </m:rPr>
              <w:rPr>
                <w:rFonts w:ascii="Cambria Math" w:eastAsia="Times New Roman" w:hAnsi="Cambria Math"/>
                <w:snapToGrid w:val="0"/>
                <w:szCs w:val="24"/>
                <w:lang w:val="en-US" w:eastAsia="en-US"/>
              </w:rPr>
              <m:t>ln</m:t>
            </m:r>
          </m:fName>
          <m:e>
            <m:d>
              <m:dPr>
                <m:ctrlPr>
                  <w:rPr>
                    <w:rFonts w:ascii="Cambria Math" w:eastAsia="Times New Roman" w:hAnsi="Cambria Math"/>
                    <w:i/>
                    <w:snapToGrid w:val="0"/>
                    <w:szCs w:val="24"/>
                    <w:lang w:val="en-US" w:eastAsia="en-US"/>
                  </w:rPr>
                </m:ctrlPr>
              </m:dPr>
              <m:e>
                <m:f>
                  <m:fPr>
                    <m:ctrlPr>
                      <w:rPr>
                        <w:rFonts w:ascii="Cambria Math" w:eastAsia="Times New Roman" w:hAnsi="Cambria Math"/>
                        <w:i/>
                        <w:snapToGrid w:val="0"/>
                        <w:szCs w:val="24"/>
                        <w:lang w:val="en-US" w:eastAsia="en-US"/>
                      </w:rPr>
                    </m:ctrlPr>
                  </m:fPr>
                  <m:num>
                    <m:r>
                      <w:rPr>
                        <w:rFonts w:ascii="Cambria Math" w:eastAsia="Times New Roman" w:hAnsi="Cambria Math"/>
                        <w:snapToGrid w:val="0"/>
                        <w:szCs w:val="24"/>
                        <w:lang w:val="en-US" w:eastAsia="en-US"/>
                      </w:rPr>
                      <m:t>1+</m:t>
                    </m:r>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6</m:t>
                        </m:r>
                      </m:sub>
                      <m:sup>
                        <m:r>
                          <w:rPr>
                            <w:rFonts w:ascii="Cambria Math" w:eastAsia="Times New Roman" w:hAnsi="Cambria Math"/>
                            <w:snapToGrid w:val="0"/>
                            <w:szCs w:val="24"/>
                            <w:lang w:val="en-US" w:eastAsia="en-US"/>
                          </w:rPr>
                          <m:t>0</m:t>
                        </m:r>
                      </m:sup>
                    </m:sSubSup>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p</m:t>
                        </m:r>
                      </m:e>
                    </m:d>
                  </m:num>
                  <m:den>
                    <m:r>
                      <w:rPr>
                        <w:rFonts w:ascii="Cambria Math" w:eastAsia="Times New Roman" w:hAnsi="Cambria Math"/>
                        <w:snapToGrid w:val="0"/>
                        <w:szCs w:val="24"/>
                        <w:lang w:val="en-US" w:eastAsia="en-US"/>
                      </w:rPr>
                      <m:t>1+</m:t>
                    </m:r>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6</m:t>
                        </m:r>
                      </m:sub>
                      <m:sup>
                        <m:r>
                          <w:rPr>
                            <w:rFonts w:ascii="Cambria Math" w:eastAsia="Times New Roman" w:hAnsi="Cambria Math"/>
                            <w:snapToGrid w:val="0"/>
                            <w:szCs w:val="24"/>
                            <w:lang w:val="en-US" w:eastAsia="en-US"/>
                          </w:rPr>
                          <m:t>0</m:t>
                        </m:r>
                      </m:sup>
                    </m:sSubSup>
                    <m:d>
                      <m:dPr>
                        <m:ctrlPr>
                          <w:rPr>
                            <w:rFonts w:ascii="Cambria Math" w:eastAsia="Times New Roman" w:hAnsi="Cambria Math"/>
                            <w:i/>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p</m:t>
                            </m:r>
                          </m:e>
                          <m:sub>
                            <m:r>
                              <w:rPr>
                                <w:rFonts w:ascii="Cambria Math" w:eastAsia="Times New Roman" w:hAnsi="Cambria Math"/>
                                <w:snapToGrid w:val="0"/>
                                <w:szCs w:val="24"/>
                                <w:lang w:val="en-US" w:eastAsia="en-US"/>
                              </w:rPr>
                              <m:t>0</m:t>
                            </m:r>
                          </m:sub>
                        </m:sSub>
                      </m:e>
                    </m:d>
                  </m:den>
                </m:f>
              </m:e>
            </m:d>
          </m:e>
        </m:func>
      </m:oMath>
      <w:r w:rsidRPr="00BC4B5A">
        <w:rPr>
          <w:rFonts w:eastAsia="Times New Roman"/>
          <w:snapToGrid w:val="0"/>
          <w:szCs w:val="24"/>
          <w:lang w:val="en-US" w:eastAsia="en-US"/>
        </w:rPr>
        <w:t xml:space="preserve"> </w:t>
      </w:r>
      <w:r w:rsidRPr="00BC4B5A">
        <w:rPr>
          <w:rFonts w:eastAsia="Times New Roman"/>
          <w:snapToGrid w:val="0"/>
          <w:szCs w:val="24"/>
          <w:lang w:val="en-US" w:eastAsia="en-US"/>
        </w:rPr>
        <w:tab/>
      </w:r>
      <w:r w:rsidRPr="00BC4B5A">
        <w:rPr>
          <w:rFonts w:eastAsia="Times New Roman"/>
          <w:snapToGrid w:val="0"/>
          <w:szCs w:val="24"/>
          <w:lang w:val="en-US" w:eastAsia="en-US"/>
        </w:rPr>
        <w:tab/>
      </w:r>
      <w:r w:rsidRPr="00BC4B5A">
        <w:rPr>
          <w:rFonts w:eastAsia="Times New Roman"/>
          <w:snapToGrid w:val="0"/>
          <w:szCs w:val="24"/>
          <w:lang w:val="en-US" w:eastAsia="en-US"/>
        </w:rPr>
        <w:tab/>
      </w:r>
      <w:r w:rsidRPr="00BC4B5A">
        <w:rPr>
          <w:rFonts w:eastAsia="Times New Roman"/>
          <w:snapToGrid w:val="0"/>
          <w:szCs w:val="24"/>
          <w:lang w:val="en-US" w:eastAsia="en-US"/>
        </w:rPr>
        <w:tab/>
      </w:r>
      <w:r w:rsidRPr="00BC4B5A">
        <w:rPr>
          <w:rFonts w:eastAsia="Times New Roman"/>
          <w:snapToGrid w:val="0"/>
          <w:szCs w:val="24"/>
          <w:lang w:val="en-US" w:eastAsia="en-US"/>
        </w:rPr>
        <w:tab/>
      </w:r>
      <w:r w:rsidRPr="00BC4B5A">
        <w:rPr>
          <w:rFonts w:eastAsia="Times New Roman"/>
          <w:snapToGrid w:val="0"/>
          <w:szCs w:val="24"/>
          <w:lang w:val="en-US" w:eastAsia="en-US"/>
        </w:rPr>
        <w:tab/>
      </w:r>
      <w:r w:rsidRPr="00BC4B5A">
        <w:rPr>
          <w:rFonts w:eastAsia="Times New Roman"/>
          <w:snapToGrid w:val="0"/>
          <w:szCs w:val="24"/>
          <w:lang w:val="en-US" w:eastAsia="en-US"/>
        </w:rPr>
        <w:tab/>
      </w:r>
      <w:r w:rsidRPr="00BC4B5A">
        <w:rPr>
          <w:rFonts w:eastAsia="Times New Roman"/>
          <w:snapToGrid w:val="0"/>
          <w:szCs w:val="24"/>
          <w:lang w:val="en-US" w:eastAsia="en-US"/>
        </w:rPr>
        <w:tab/>
        <w:t>(2)</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r w:rsidRPr="00BC4B5A">
        <w:rPr>
          <w:rFonts w:eastAsia="Times New Roman"/>
          <w:snapToGrid w:val="0"/>
          <w:szCs w:val="24"/>
          <w:lang w:val="en-US" w:eastAsia="en-US"/>
        </w:rPr>
        <w:t xml:space="preserve">and C's follow as </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p>
    <w:p w:rsidR="00BC4B5A" w:rsidRPr="00BC4B5A" w:rsidRDefault="004F662B" w:rsidP="00BC4B5A">
      <w:pPr>
        <w:widowControl w:val="0"/>
        <w:tabs>
          <w:tab w:val="right" w:pos="4678"/>
        </w:tabs>
        <w:autoSpaceDE w:val="0"/>
        <w:autoSpaceDN w:val="0"/>
        <w:adjustRightInd w:val="0"/>
        <w:spacing w:after="0" w:line="240" w:lineRule="auto"/>
        <w:jc w:val="both"/>
        <w:rPr>
          <w:rFonts w:eastAsia="Times New Roman"/>
          <w:snapToGrid w:val="0"/>
          <w:color w:val="000000"/>
          <w:szCs w:val="24"/>
          <w:lang w:val="en-US" w:eastAsia="en-US"/>
        </w:rPr>
      </w:pPr>
      <m:oMath>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C</m:t>
            </m:r>
          </m:e>
          <m:sub>
            <m:r>
              <w:rPr>
                <w:rFonts w:ascii="Cambria Math" w:eastAsia="Times New Roman" w:hAnsi="Cambria Math"/>
                <w:snapToGrid w:val="0"/>
                <w:color w:val="000000"/>
                <w:szCs w:val="24"/>
                <w:lang w:val="en-US" w:eastAsia="en-US"/>
              </w:rPr>
              <m:t>1</m:t>
            </m:r>
          </m:sub>
          <m:sup>
            <m:r>
              <w:rPr>
                <w:rFonts w:ascii="Cambria Math" w:eastAsia="Times New Roman" w:hAnsi="Cambria Math"/>
                <w:snapToGrid w:val="0"/>
                <w:color w:val="000000"/>
                <w:szCs w:val="24"/>
                <w:lang w:val="en-US" w:eastAsia="en-US"/>
              </w:rPr>
              <m:t>00</m:t>
            </m:r>
          </m:sup>
        </m:sSubSup>
        <m:r>
          <w:rPr>
            <w:rFonts w:ascii="Cambria Math" w:eastAsia="Times New Roman" w:hAnsi="Cambria Math"/>
            <w:snapToGrid w:val="0"/>
            <w:color w:val="000000"/>
            <w:szCs w:val="24"/>
            <w:lang w:val="en-US" w:eastAsia="en-US"/>
          </w:rPr>
          <m:t>=</m:t>
        </m:r>
        <m:f>
          <m:fPr>
            <m:type m:val="lin"/>
            <m:ctrlPr>
              <w:rPr>
                <w:rFonts w:ascii="Cambria Math" w:eastAsia="Times New Roman" w:hAnsi="Cambria Math"/>
                <w:i/>
                <w:snapToGrid w:val="0"/>
                <w:color w:val="000000"/>
                <w:szCs w:val="24"/>
                <w:lang w:val="en-US" w:eastAsia="en-US"/>
              </w:rPr>
            </m:ctrlPr>
          </m:fPr>
          <m:num>
            <m:r>
              <w:rPr>
                <w:rFonts w:ascii="Cambria Math" w:eastAsia="Times New Roman" w:hAnsi="Cambria Math"/>
                <w:snapToGrid w:val="0"/>
                <w:color w:val="000000"/>
                <w:szCs w:val="24"/>
                <w:lang w:val="en-US" w:eastAsia="en-US"/>
              </w:rPr>
              <m:t>B</m:t>
            </m:r>
          </m:num>
          <m:den>
            <m:r>
              <w:rPr>
                <w:rFonts w:ascii="Cambria Math" w:eastAsia="Times New Roman" w:hAnsi="Cambria Math"/>
                <w:snapToGrid w:val="0"/>
                <w:color w:val="000000"/>
                <w:szCs w:val="24"/>
                <w:lang w:val="en-US" w:eastAsia="en-US"/>
              </w:rPr>
              <m:t>2.303</m:t>
            </m:r>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f</m:t>
                </m:r>
              </m:e>
              <m:sub>
                <m:r>
                  <w:rPr>
                    <w:rFonts w:ascii="Cambria Math" w:eastAsia="Times New Roman" w:hAnsi="Cambria Math"/>
                    <w:snapToGrid w:val="0"/>
                    <w:color w:val="000000"/>
                    <w:szCs w:val="24"/>
                    <w:lang w:val="en-US" w:eastAsia="en-US"/>
                  </w:rPr>
                  <m:t>0</m:t>
                </m:r>
              </m:sub>
            </m:sSub>
          </m:den>
        </m:f>
      </m:oMath>
      <w:r w:rsidR="00BC4B5A" w:rsidRPr="00BC4B5A">
        <w:rPr>
          <w:rFonts w:eastAsia="Times New Roman"/>
          <w:snapToGrid w:val="0"/>
          <w:color w:val="000000"/>
          <w:szCs w:val="24"/>
          <w:lang w:val="en-US" w:eastAsia="en-US"/>
        </w:rPr>
        <w:t xml:space="preserve">, </w:t>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t>(3)</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p>
    <w:p w:rsidR="00BC4B5A" w:rsidRPr="00BC4B5A" w:rsidRDefault="004F662B" w:rsidP="00BC4B5A">
      <w:pPr>
        <w:widowControl w:val="0"/>
        <w:tabs>
          <w:tab w:val="right" w:pos="4678"/>
        </w:tabs>
        <w:autoSpaceDE w:val="0"/>
        <w:autoSpaceDN w:val="0"/>
        <w:adjustRightInd w:val="0"/>
        <w:spacing w:after="0" w:line="240" w:lineRule="auto"/>
        <w:jc w:val="both"/>
        <w:rPr>
          <w:rFonts w:eastAsia="Times New Roman"/>
          <w:snapToGrid w:val="0"/>
          <w:color w:val="000000"/>
          <w:szCs w:val="24"/>
          <w:lang w:val="en-US" w:eastAsia="en-US"/>
        </w:rPr>
      </w:pPr>
      <m:oMath>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C</m:t>
            </m:r>
          </m:e>
          <m:sub>
            <m:r>
              <w:rPr>
                <w:rFonts w:ascii="Cambria Math" w:eastAsia="Times New Roman" w:hAnsi="Cambria Math"/>
                <w:snapToGrid w:val="0"/>
                <w:color w:val="000000"/>
                <w:szCs w:val="24"/>
                <w:lang w:val="en-US" w:eastAsia="en-US"/>
              </w:rPr>
              <m:t>2</m:t>
            </m:r>
          </m:sub>
          <m:sup>
            <m:r>
              <w:rPr>
                <w:rFonts w:ascii="Cambria Math" w:eastAsia="Times New Roman" w:hAnsi="Cambria Math"/>
                <w:snapToGrid w:val="0"/>
                <w:color w:val="000000"/>
                <w:szCs w:val="24"/>
                <w:lang w:val="en-US" w:eastAsia="en-US"/>
              </w:rPr>
              <m:t>00</m:t>
            </m:r>
          </m:sup>
        </m:sSubSup>
        <m:r>
          <w:rPr>
            <w:rFonts w:ascii="Cambria Math" w:eastAsia="Times New Roman" w:hAnsi="Cambria Math"/>
            <w:snapToGrid w:val="0"/>
            <w:color w:val="000000"/>
            <w:szCs w:val="24"/>
            <w:lang w:val="en-US" w:eastAsia="en-US"/>
          </w:rPr>
          <m:t>=</m:t>
        </m:r>
        <m:f>
          <m:fPr>
            <m:type m:val="lin"/>
            <m:ctrlPr>
              <w:rPr>
                <w:rFonts w:ascii="Cambria Math" w:eastAsia="Times New Roman" w:hAnsi="Cambria Math"/>
                <w:i/>
                <w:snapToGrid w:val="0"/>
                <w:color w:val="000000"/>
                <w:szCs w:val="24"/>
                <w:lang w:val="en-US" w:eastAsia="en-US"/>
              </w:rPr>
            </m:ctrlPr>
          </m:fPr>
          <m:num>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f</m:t>
                </m:r>
              </m:e>
              <m:sub>
                <m:r>
                  <w:rPr>
                    <w:rFonts w:ascii="Cambria Math" w:eastAsia="Times New Roman" w:hAnsi="Cambria Math"/>
                    <w:snapToGrid w:val="0"/>
                    <w:color w:val="000000"/>
                    <w:szCs w:val="24"/>
                    <w:lang w:val="en-US" w:eastAsia="en-US"/>
                  </w:rPr>
                  <m:t>0</m:t>
                </m:r>
              </m:sub>
            </m:sSub>
          </m:num>
          <m:den>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α</m:t>
                </m:r>
              </m:e>
              <m:sub>
                <m:r>
                  <w:rPr>
                    <w:rFonts w:ascii="Cambria Math" w:eastAsia="Times New Roman" w:hAnsi="Cambria Math"/>
                    <w:snapToGrid w:val="0"/>
                    <w:color w:val="000000"/>
                    <w:szCs w:val="24"/>
                    <w:lang w:val="en-US" w:eastAsia="en-US"/>
                  </w:rPr>
                  <m:t>f</m:t>
                </m:r>
              </m:sub>
            </m:sSub>
            <m:r>
              <w:rPr>
                <w:rFonts w:ascii="Cambria Math" w:eastAsia="Times New Roman" w:hAnsi="Cambria Math"/>
                <w:snapToGrid w:val="0"/>
                <w:color w:val="000000"/>
                <w:szCs w:val="24"/>
                <w:lang w:val="en-US" w:eastAsia="en-US"/>
              </w:rPr>
              <m:t>(p)</m:t>
            </m:r>
          </m:den>
        </m:f>
      </m:oMath>
      <w:r w:rsidR="00BC4B5A" w:rsidRPr="00BC4B5A">
        <w:rPr>
          <w:rFonts w:eastAsia="Times New Roman"/>
          <w:snapToGrid w:val="0"/>
          <w:color w:val="000000"/>
          <w:szCs w:val="24"/>
          <w:lang w:val="en-US" w:eastAsia="en-US"/>
        </w:rPr>
        <w:t xml:space="preserve">, </w:t>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t>(4)</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p>
    <w:p w:rsidR="00BC4B5A" w:rsidRPr="00BC4B5A" w:rsidRDefault="004F662B" w:rsidP="00BC4B5A">
      <w:pPr>
        <w:widowControl w:val="0"/>
        <w:tabs>
          <w:tab w:val="right" w:pos="4678"/>
        </w:tabs>
        <w:autoSpaceDE w:val="0"/>
        <w:autoSpaceDN w:val="0"/>
        <w:adjustRightInd w:val="0"/>
        <w:spacing w:after="0" w:line="240" w:lineRule="auto"/>
        <w:jc w:val="both"/>
        <w:rPr>
          <w:rFonts w:eastAsia="Times New Roman"/>
          <w:snapToGrid w:val="0"/>
          <w:color w:val="000000"/>
          <w:szCs w:val="24"/>
          <w:lang w:val="en-US" w:eastAsia="en-US"/>
        </w:rPr>
      </w:pPr>
      <m:oMath>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C</m:t>
            </m:r>
          </m:e>
          <m:sub>
            <m:r>
              <w:rPr>
                <w:rFonts w:ascii="Cambria Math" w:eastAsia="Times New Roman" w:hAnsi="Cambria Math"/>
                <w:snapToGrid w:val="0"/>
                <w:color w:val="000000"/>
                <w:szCs w:val="24"/>
                <w:lang w:val="en-US" w:eastAsia="en-US"/>
              </w:rPr>
              <m:t>3</m:t>
            </m:r>
          </m:sub>
          <m:sup>
            <m:r>
              <w:rPr>
                <w:rFonts w:ascii="Cambria Math" w:eastAsia="Times New Roman" w:hAnsi="Cambria Math"/>
                <w:snapToGrid w:val="0"/>
                <w:color w:val="000000"/>
                <w:szCs w:val="24"/>
                <w:lang w:val="en-US" w:eastAsia="en-US"/>
              </w:rPr>
              <m:t>0</m:t>
            </m:r>
          </m:sup>
        </m:sSubSup>
        <m:r>
          <w:rPr>
            <w:rFonts w:ascii="Cambria Math" w:eastAsia="Times New Roman" w:hAnsi="Cambria Math"/>
            <w:snapToGrid w:val="0"/>
            <w:color w:val="000000"/>
            <w:szCs w:val="24"/>
            <w:lang w:val="en-US" w:eastAsia="en-US"/>
          </w:rPr>
          <m:t>(p)=</m:t>
        </m:r>
        <m:f>
          <m:fPr>
            <m:type m:val="lin"/>
            <m:ctrlPr>
              <w:rPr>
                <w:rFonts w:ascii="Cambria Math" w:eastAsia="Times New Roman" w:hAnsi="Cambria Math"/>
                <w:i/>
                <w:snapToGrid w:val="0"/>
                <w:color w:val="000000"/>
                <w:szCs w:val="24"/>
                <w:lang w:val="en-US" w:eastAsia="en-US"/>
              </w:rPr>
            </m:ctrlPr>
          </m:fPr>
          <m:num>
            <m:r>
              <w:rPr>
                <w:rFonts w:ascii="Cambria Math" w:eastAsia="Times New Roman" w:hAnsi="Cambria Math"/>
                <w:snapToGrid w:val="0"/>
                <w:color w:val="000000"/>
                <w:szCs w:val="24"/>
                <w:lang w:val="en-US" w:eastAsia="en-US"/>
              </w:rPr>
              <m:t>1</m:t>
            </m:r>
          </m:num>
          <m:den>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Sub>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α</m:t>
                </m:r>
              </m:e>
              <m:sub>
                <m:r>
                  <w:rPr>
                    <w:rFonts w:ascii="Cambria Math" w:eastAsia="Times New Roman" w:hAnsi="Cambria Math"/>
                    <w:snapToGrid w:val="0"/>
                    <w:color w:val="000000"/>
                    <w:szCs w:val="24"/>
                    <w:lang w:val="en-US" w:eastAsia="en-US"/>
                  </w:rPr>
                  <m:t>f</m:t>
                </m:r>
              </m:sub>
            </m:sSub>
            <m:r>
              <w:rPr>
                <w:rFonts w:ascii="Cambria Math" w:eastAsia="Times New Roman" w:hAnsi="Cambria Math"/>
                <w:snapToGrid w:val="0"/>
                <w:color w:val="000000"/>
                <w:szCs w:val="24"/>
                <w:lang w:val="en-US" w:eastAsia="en-US"/>
              </w:rPr>
              <m:t>(p)</m:t>
            </m:r>
          </m:den>
        </m:f>
      </m:oMath>
      <w:r w:rsidR="00BC4B5A" w:rsidRPr="00BC4B5A">
        <w:rPr>
          <w:rFonts w:eastAsia="Times New Roman"/>
          <w:snapToGrid w:val="0"/>
          <w:color w:val="000000"/>
          <w:szCs w:val="24"/>
          <w:lang w:val="en-US" w:eastAsia="en-US"/>
        </w:rPr>
        <w:t xml:space="preserve">, </w:t>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t>(5)</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4F662B" w:rsidP="00BC4B5A">
      <w:pPr>
        <w:widowControl w:val="0"/>
        <w:tabs>
          <w:tab w:val="right" w:pos="4678"/>
        </w:tabs>
        <w:autoSpaceDE w:val="0"/>
        <w:autoSpaceDN w:val="0"/>
        <w:adjustRightInd w:val="0"/>
        <w:spacing w:after="0" w:line="240" w:lineRule="auto"/>
        <w:jc w:val="both"/>
        <w:rPr>
          <w:rFonts w:eastAsia="Times New Roman"/>
          <w:snapToGrid w:val="0"/>
          <w:color w:val="000000"/>
          <w:szCs w:val="24"/>
          <w:lang w:val="en-US" w:eastAsia="en-US"/>
        </w:rPr>
      </w:pPr>
      <m:oMath>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C</m:t>
            </m:r>
          </m:e>
          <m:sub>
            <m:r>
              <w:rPr>
                <w:rFonts w:ascii="Cambria Math" w:eastAsia="Times New Roman" w:hAnsi="Cambria Math"/>
                <w:snapToGrid w:val="0"/>
                <w:color w:val="000000"/>
                <w:szCs w:val="24"/>
                <w:lang w:val="en-US" w:eastAsia="en-US"/>
              </w:rPr>
              <m:t>4</m:t>
            </m:r>
          </m:sub>
          <m:sup>
            <m:r>
              <w:rPr>
                <w:rFonts w:ascii="Cambria Math" w:eastAsia="Times New Roman" w:hAnsi="Cambria Math"/>
                <w:snapToGrid w:val="0"/>
                <w:color w:val="000000"/>
                <w:szCs w:val="24"/>
                <w:lang w:val="en-US" w:eastAsia="en-US"/>
              </w:rPr>
              <m:t>0</m:t>
            </m:r>
          </m:sup>
        </m:sSubSup>
        <m:r>
          <w:rPr>
            <w:rFonts w:ascii="Cambria Math" w:eastAsia="Times New Roman" w:hAnsi="Cambria Math"/>
            <w:snapToGrid w:val="0"/>
            <w:color w:val="000000"/>
            <w:szCs w:val="24"/>
            <w:lang w:val="en-US" w:eastAsia="en-US"/>
          </w:rPr>
          <m:t>=</m:t>
        </m:r>
        <m:f>
          <m:fPr>
            <m:type m:val="lin"/>
            <m:ctrlPr>
              <w:rPr>
                <w:rFonts w:ascii="Cambria Math" w:eastAsia="Times New Roman" w:hAnsi="Cambria Math"/>
                <w:i/>
                <w:snapToGrid w:val="0"/>
                <w:color w:val="000000"/>
                <w:szCs w:val="24"/>
                <w:lang w:val="en-US" w:eastAsia="en-US"/>
              </w:rPr>
            </m:ctrlPr>
          </m:fPr>
          <m:num>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Sub>
          </m:num>
          <m:den>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up>
                <m:r>
                  <w:rPr>
                    <w:rFonts w:ascii="Cambria Math" w:eastAsia="Times New Roman" w:hAnsi="Cambria Math"/>
                    <w:snapToGrid w:val="0"/>
                    <w:color w:val="000000"/>
                    <w:szCs w:val="24"/>
                    <w:lang w:val="en-US" w:eastAsia="en-US"/>
                  </w:rPr>
                  <m:t>*</m:t>
                </m:r>
              </m:sup>
            </m:sSubSup>
          </m:den>
        </m:f>
      </m:oMath>
      <w:r w:rsidR="00BC4B5A" w:rsidRPr="00BC4B5A">
        <w:rPr>
          <w:rFonts w:eastAsia="Times New Roman"/>
          <w:snapToGrid w:val="0"/>
          <w:color w:val="000000"/>
          <w:szCs w:val="24"/>
          <w:lang w:val="en-US" w:eastAsia="en-US"/>
        </w:rPr>
        <w:t>,</w:t>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t>(6)</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p>
    <w:p w:rsidR="00BC4B5A" w:rsidRPr="00BC4B5A" w:rsidRDefault="004F662B" w:rsidP="00BC4B5A">
      <w:pPr>
        <w:widowControl w:val="0"/>
        <w:tabs>
          <w:tab w:val="right" w:pos="4678"/>
        </w:tabs>
        <w:autoSpaceDE w:val="0"/>
        <w:autoSpaceDN w:val="0"/>
        <w:adjustRightInd w:val="0"/>
        <w:spacing w:after="0" w:line="240" w:lineRule="auto"/>
        <w:jc w:val="both"/>
        <w:rPr>
          <w:rFonts w:eastAsia="Times New Roman"/>
          <w:snapToGrid w:val="0"/>
          <w:color w:val="000000"/>
          <w:szCs w:val="24"/>
          <w:lang w:val="en-US" w:eastAsia="en-US"/>
        </w:rPr>
      </w:pPr>
      <m:oMath>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C</m:t>
            </m:r>
          </m:e>
          <m:sub>
            <m:r>
              <w:rPr>
                <w:rFonts w:ascii="Cambria Math" w:eastAsia="Times New Roman" w:hAnsi="Cambria Math"/>
                <w:snapToGrid w:val="0"/>
                <w:color w:val="000000"/>
                <w:szCs w:val="24"/>
                <w:lang w:val="en-US" w:eastAsia="en-US"/>
              </w:rPr>
              <m:t>5</m:t>
            </m:r>
          </m:sub>
          <m:sup>
            <m:r>
              <w:rPr>
                <w:rFonts w:ascii="Cambria Math" w:eastAsia="Times New Roman" w:hAnsi="Cambria Math"/>
                <w:snapToGrid w:val="0"/>
                <w:color w:val="000000"/>
                <w:szCs w:val="24"/>
                <w:lang w:val="en-US" w:eastAsia="en-US"/>
              </w:rPr>
              <m:t>0</m:t>
            </m:r>
          </m:sup>
        </m:sSubSup>
        <m:r>
          <w:rPr>
            <w:rFonts w:ascii="Cambria Math" w:eastAsia="Times New Roman" w:hAnsi="Cambria Math"/>
            <w:snapToGrid w:val="0"/>
            <w:color w:val="000000"/>
            <w:szCs w:val="24"/>
            <w:lang w:val="en-US" w:eastAsia="en-US"/>
          </w:rPr>
          <m:t>(p)=</m:t>
        </m:r>
        <m:f>
          <m:fPr>
            <m:type m:val="lin"/>
            <m:ctrlPr>
              <w:rPr>
                <w:rFonts w:ascii="Cambria Math" w:eastAsia="Times New Roman" w:hAnsi="Cambria Math"/>
                <w:i/>
                <w:snapToGrid w:val="0"/>
                <w:color w:val="000000"/>
                <w:szCs w:val="24"/>
                <w:lang w:val="en-US" w:eastAsia="en-US"/>
              </w:rPr>
            </m:ctrlPr>
          </m:fPr>
          <m:num>
            <m:r>
              <w:rPr>
                <w:rFonts w:ascii="Cambria Math" w:eastAsia="Times New Roman" w:hAnsi="Cambria Math"/>
                <w:snapToGrid w:val="0"/>
                <w:color w:val="000000"/>
                <w:szCs w:val="24"/>
                <w:lang w:val="en-US" w:eastAsia="en-US"/>
              </w:rPr>
              <m:t>1</m:t>
            </m:r>
          </m:num>
          <m:den>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ϕ</m:t>
                </m:r>
              </m:sub>
            </m:sSub>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α</m:t>
                </m:r>
              </m:e>
              <m:sub>
                <m:r>
                  <w:rPr>
                    <w:rFonts w:ascii="Cambria Math" w:eastAsia="Times New Roman" w:hAnsi="Cambria Math"/>
                    <w:snapToGrid w:val="0"/>
                    <w:color w:val="000000"/>
                    <w:szCs w:val="24"/>
                    <w:lang w:val="en-US" w:eastAsia="en-US"/>
                  </w:rPr>
                  <m:t>f</m:t>
                </m:r>
              </m:sub>
            </m:sSub>
            <m:r>
              <w:rPr>
                <w:rFonts w:ascii="Cambria Math" w:eastAsia="Times New Roman" w:hAnsi="Cambria Math"/>
                <w:snapToGrid w:val="0"/>
                <w:color w:val="000000"/>
                <w:szCs w:val="24"/>
                <w:lang w:val="en-US" w:eastAsia="en-US"/>
              </w:rPr>
              <m:t>(p)</m:t>
            </m:r>
          </m:den>
        </m:f>
      </m:oMath>
      <w:r w:rsidR="00BC4B5A" w:rsidRPr="00BC4B5A">
        <w:rPr>
          <w:rFonts w:eastAsia="Times New Roman"/>
          <w:snapToGrid w:val="0"/>
          <w:color w:val="000000"/>
          <w:szCs w:val="24"/>
          <w:lang w:val="en-US" w:eastAsia="en-US"/>
        </w:rPr>
        <w:t xml:space="preserve">, </w:t>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t>(7)</w:t>
      </w:r>
    </w:p>
    <w:p w:rsidR="00BC4B5A" w:rsidRPr="00BC4B5A" w:rsidRDefault="00BC4B5A" w:rsidP="00BC4B5A">
      <w:pPr>
        <w:widowControl w:val="0"/>
        <w:tabs>
          <w:tab w:val="right" w:pos="4678"/>
        </w:tabs>
        <w:autoSpaceDE w:val="0"/>
        <w:autoSpaceDN w:val="0"/>
        <w:adjustRightInd w:val="0"/>
        <w:spacing w:after="0" w:line="240" w:lineRule="auto"/>
        <w:jc w:val="both"/>
        <w:rPr>
          <w:rFonts w:eastAsia="Times New Roman"/>
          <w:snapToGrid w:val="0"/>
          <w:szCs w:val="24"/>
          <w:lang w:val="en-US" w:eastAsia="en-US"/>
        </w:rPr>
      </w:pPr>
    </w:p>
    <w:p w:rsidR="00BC4B5A" w:rsidRPr="00BC4B5A" w:rsidRDefault="004F662B" w:rsidP="00BC4B5A">
      <w:pPr>
        <w:widowControl w:val="0"/>
        <w:tabs>
          <w:tab w:val="right" w:pos="4678"/>
        </w:tabs>
        <w:autoSpaceDE w:val="0"/>
        <w:autoSpaceDN w:val="0"/>
        <w:adjustRightInd w:val="0"/>
        <w:spacing w:after="0" w:line="240" w:lineRule="auto"/>
        <w:jc w:val="both"/>
        <w:rPr>
          <w:rFonts w:eastAsia="Times New Roman"/>
          <w:snapToGrid w:val="0"/>
          <w:color w:val="000000"/>
          <w:szCs w:val="24"/>
          <w:lang w:val="en-US" w:eastAsia="en-US"/>
        </w:rPr>
      </w:pPr>
      <m:oMath>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C</m:t>
            </m:r>
          </m:e>
          <m:sub>
            <m:r>
              <w:rPr>
                <w:rFonts w:ascii="Cambria Math" w:eastAsia="Times New Roman" w:hAnsi="Cambria Math"/>
                <w:snapToGrid w:val="0"/>
                <w:color w:val="000000"/>
                <w:szCs w:val="24"/>
                <w:lang w:val="en-US" w:eastAsia="en-US"/>
              </w:rPr>
              <m:t>6</m:t>
            </m:r>
          </m:sub>
          <m:sup>
            <m:r>
              <w:rPr>
                <w:rFonts w:ascii="Cambria Math" w:eastAsia="Times New Roman" w:hAnsi="Cambria Math"/>
                <w:snapToGrid w:val="0"/>
                <w:color w:val="000000"/>
                <w:szCs w:val="24"/>
                <w:lang w:val="en-US" w:eastAsia="en-US"/>
              </w:rPr>
              <m:t>0</m:t>
            </m:r>
          </m:sup>
        </m:sSubSup>
        <m:r>
          <w:rPr>
            <w:rFonts w:ascii="Cambria Math" w:eastAsia="Times New Roman" w:hAnsi="Cambria Math"/>
            <w:snapToGrid w:val="0"/>
            <w:color w:val="000000"/>
            <w:szCs w:val="24"/>
            <w:lang w:val="en-US" w:eastAsia="en-US"/>
          </w:rPr>
          <m:t>=</m:t>
        </m:r>
        <m:f>
          <m:fPr>
            <m:type m:val="lin"/>
            <m:ctrlPr>
              <w:rPr>
                <w:rFonts w:ascii="Cambria Math" w:eastAsia="Times New Roman" w:hAnsi="Cambria Math"/>
                <w:i/>
                <w:snapToGrid w:val="0"/>
                <w:color w:val="000000"/>
                <w:szCs w:val="24"/>
                <w:lang w:val="en-US" w:eastAsia="en-US"/>
              </w:rPr>
            </m:ctrlPr>
          </m:fPr>
          <m:num>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ϕ</m:t>
                </m:r>
              </m:sub>
            </m:sSub>
          </m:num>
          <m:den>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ϕ</m:t>
                </m:r>
              </m:sub>
              <m:sup>
                <m:r>
                  <w:rPr>
                    <w:rFonts w:ascii="Cambria Math" w:eastAsia="Times New Roman" w:hAnsi="Cambria Math"/>
                    <w:snapToGrid w:val="0"/>
                    <w:color w:val="000000"/>
                    <w:szCs w:val="24"/>
                    <w:lang w:val="en-US" w:eastAsia="en-US"/>
                  </w:rPr>
                  <m:t>*</m:t>
                </m:r>
              </m:sup>
            </m:sSubSup>
          </m:den>
        </m:f>
      </m:oMath>
      <w:r w:rsidR="00BC4B5A" w:rsidRPr="00BC4B5A">
        <w:rPr>
          <w:rFonts w:eastAsia="Times New Roman"/>
          <w:snapToGrid w:val="0"/>
          <w:color w:val="000000"/>
          <w:szCs w:val="24"/>
          <w:lang w:val="en-US" w:eastAsia="en-US"/>
        </w:rPr>
        <w:t xml:space="preserve"> </w:t>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t>(8)</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both"/>
        <w:rPr>
          <w:rFonts w:eastAsia="Times New Roman"/>
          <w:snapToGrid w:val="0"/>
          <w:szCs w:val="24"/>
          <w:lang w:val="en-US" w:eastAsia="en-US"/>
        </w:rPr>
      </w:pPr>
      <w:r w:rsidRPr="00BC4B5A">
        <w:rPr>
          <w:rFonts w:eastAsia="Times New Roman"/>
          <w:snapToGrid w:val="0"/>
          <w:szCs w:val="24"/>
          <w:lang w:val="en-US" w:eastAsia="en-US"/>
        </w:rPr>
        <w:t xml:space="preserve">The 00 superscript indicates that the parameter is referred to the reference temperature </w:t>
      </w:r>
      <w:r w:rsidRPr="00BC4B5A">
        <w:rPr>
          <w:rFonts w:eastAsia="Times New Roman"/>
          <w:i/>
          <w:snapToGrid w:val="0"/>
          <w:szCs w:val="24"/>
          <w:lang w:val="en-US" w:eastAsia="en-US"/>
        </w:rPr>
        <w:t>T</w:t>
      </w:r>
      <w:r w:rsidRPr="00BC4B5A">
        <w:rPr>
          <w:rFonts w:eastAsia="Times New Roman"/>
          <w:snapToGrid w:val="0"/>
          <w:szCs w:val="24"/>
          <w:vertAlign w:val="subscript"/>
          <w:lang w:val="en-US" w:eastAsia="en-US"/>
        </w:rPr>
        <w:t>0</w:t>
      </w:r>
      <w:r w:rsidRPr="00BC4B5A">
        <w:rPr>
          <w:rFonts w:eastAsia="Times New Roman"/>
          <w:snapToGrid w:val="0"/>
          <w:szCs w:val="24"/>
          <w:lang w:val="en-US" w:eastAsia="en-US"/>
        </w:rPr>
        <w:t xml:space="preserve"> (first place) and to the reference pressure </w:t>
      </w:r>
      <w:r w:rsidRPr="00BC4B5A">
        <w:rPr>
          <w:rFonts w:eastAsia="Times New Roman"/>
          <w:i/>
          <w:snapToGrid w:val="0"/>
          <w:szCs w:val="24"/>
          <w:lang w:val="en-US" w:eastAsia="en-US"/>
        </w:rPr>
        <w:t>p</w:t>
      </w:r>
      <w:r w:rsidRPr="00BC4B5A">
        <w:rPr>
          <w:rFonts w:eastAsia="Times New Roman"/>
          <w:snapToGrid w:val="0"/>
          <w:szCs w:val="24"/>
          <w:vertAlign w:val="subscript"/>
          <w:lang w:val="en-US" w:eastAsia="en-US"/>
        </w:rPr>
        <w:t>0</w:t>
      </w:r>
      <w:r w:rsidRPr="00BC4B5A">
        <w:rPr>
          <w:rFonts w:eastAsia="Times New Roman"/>
          <w:snapToGrid w:val="0"/>
          <w:szCs w:val="24"/>
          <w:lang w:val="en-US" w:eastAsia="en-US"/>
        </w:rPr>
        <w:t xml:space="preserve"> (second place). A single 0 superscript refers to the reference temperature only. The * superscript refers to zero (in practice, atmospheric) pressure, while subscripts </w:t>
      </w:r>
      <w:r w:rsidRPr="00BC4B5A">
        <w:rPr>
          <w:rFonts w:eastAsia="Times New Roman"/>
          <w:i/>
          <w:snapToGrid w:val="0"/>
          <w:szCs w:val="24"/>
          <w:lang w:val="en-US" w:eastAsia="en-US"/>
        </w:rPr>
        <w:t xml:space="preserve">e </w:t>
      </w:r>
      <w:r w:rsidRPr="00BC4B5A">
        <w:rPr>
          <w:rFonts w:eastAsia="Times New Roman"/>
          <w:snapToGrid w:val="0"/>
          <w:szCs w:val="24"/>
          <w:lang w:val="en-US" w:eastAsia="en-US"/>
        </w:rPr>
        <w:t xml:space="preserve">and </w:t>
      </w:r>
      <w:r w:rsidRPr="00BC4B5A">
        <w:rPr>
          <w:rFonts w:eastAsia="Times New Roman"/>
          <w:i/>
          <w:snapToGrid w:val="0"/>
          <w:szCs w:val="24"/>
          <w:lang w:val="en-US" w:eastAsia="en-US"/>
        </w:rPr>
        <w:t xml:space="preserve">f </w:t>
      </w:r>
      <w:r w:rsidRPr="00BC4B5A">
        <w:rPr>
          <w:rFonts w:eastAsia="Times New Roman"/>
          <w:snapToGrid w:val="0"/>
          <w:szCs w:val="24"/>
          <w:lang w:val="en-US" w:eastAsia="en-US"/>
        </w:rPr>
        <w:t xml:space="preserve">stand for “entire-” and “free-” volume, respectively. Equation 1 is the Fillers-Moonan-Tschoegl (FMT) equation. </w:t>
      </w:r>
      <m:oMath>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K</m:t>
            </m:r>
          </m:e>
          <m:sub>
            <m:r>
              <w:rPr>
                <w:rFonts w:ascii="Cambria Math" w:eastAsia="Times New Roman" w:hAnsi="Cambria Math"/>
                <w:snapToGrid w:val="0"/>
                <w:szCs w:val="24"/>
                <w:lang w:val="en-US" w:eastAsia="en-US"/>
              </w:rPr>
              <m:t>e</m:t>
            </m:r>
          </m:sub>
          <m:sup>
            <m:r>
              <w:rPr>
                <w:rFonts w:ascii="Cambria Math" w:eastAsia="Times New Roman" w:hAnsi="Cambria Math"/>
                <w:snapToGrid w:val="0"/>
                <w:szCs w:val="24"/>
                <w:lang w:val="en-US" w:eastAsia="en-US"/>
              </w:rPr>
              <m:t>*</m:t>
            </m:r>
          </m:sup>
        </m:sSubSup>
      </m:oMath>
      <w:r w:rsidRPr="00BC4B5A">
        <w:rPr>
          <w:rFonts w:eastAsia="Times New Roman"/>
          <w:snapToGrid w:val="0"/>
          <w:szCs w:val="24"/>
          <w:lang w:val="en-US" w:eastAsia="en-US"/>
        </w:rPr>
        <w:t xml:space="preserve"> and </w:t>
      </w: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k</m:t>
            </m:r>
          </m:e>
          <m:sub>
            <m:r>
              <w:rPr>
                <w:rFonts w:ascii="Cambria Math" w:eastAsia="Times New Roman" w:hAnsi="Cambria Math"/>
                <w:snapToGrid w:val="0"/>
                <w:szCs w:val="24"/>
                <w:lang w:val="en-US" w:eastAsia="en-US"/>
              </w:rPr>
              <m:t>e</m:t>
            </m:r>
          </m:sub>
        </m:sSub>
      </m:oMath>
      <w:r w:rsidRPr="00BC4B5A">
        <w:rPr>
          <w:rFonts w:eastAsia="Times New Roman"/>
          <w:snapToGrid w:val="0"/>
          <w:szCs w:val="24"/>
          <w:lang w:val="en-US" w:eastAsia="en-US"/>
        </w:rPr>
        <w:t xml:space="preserve"> and thus </w:t>
      </w:r>
      <m:oMath>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4</m:t>
            </m:r>
          </m:sub>
          <m:sup>
            <m:r>
              <w:rPr>
                <w:rFonts w:ascii="Cambria Math" w:eastAsia="Times New Roman" w:hAnsi="Cambria Math"/>
                <w:snapToGrid w:val="0"/>
                <w:szCs w:val="24"/>
                <w:lang w:val="en-US" w:eastAsia="en-US"/>
              </w:rPr>
              <m:t>0</m:t>
            </m:r>
          </m:sup>
        </m:sSubSup>
      </m:oMath>
      <w:r w:rsidRPr="00BC4B5A">
        <w:rPr>
          <w:rFonts w:eastAsia="Times New Roman"/>
          <w:snapToGrid w:val="0"/>
          <w:szCs w:val="24"/>
          <w:lang w:val="en-US" w:eastAsia="en-US"/>
        </w:rPr>
        <w:t>, can be determined from separate volume-pressure measurements through a fit to the equation</w:t>
      </w:r>
    </w:p>
    <w:p w:rsidR="00BC4B5A" w:rsidRPr="00BC4B5A" w:rsidRDefault="00BC4B5A" w:rsidP="00BC4B5A">
      <w:pPr>
        <w:widowControl w:val="0"/>
        <w:autoSpaceDE w:val="0"/>
        <w:autoSpaceDN w:val="0"/>
        <w:adjustRightInd w:val="0"/>
        <w:spacing w:after="0" w:line="240" w:lineRule="auto"/>
        <w:jc w:val="both"/>
        <w:rPr>
          <w:rFonts w:eastAsia="Times New Roman"/>
          <w:snapToGrid w:val="0"/>
          <w:szCs w:val="24"/>
          <w:lang w:val="en-US" w:eastAsia="en-US"/>
        </w:rPr>
      </w:pPr>
    </w:p>
    <w:p w:rsidR="00BC4B5A" w:rsidRPr="00BC4B5A" w:rsidRDefault="004F662B" w:rsidP="00BC4B5A">
      <w:pPr>
        <w:widowControl w:val="0"/>
        <w:tabs>
          <w:tab w:val="right" w:pos="4678"/>
        </w:tabs>
        <w:spacing w:after="0" w:line="240" w:lineRule="auto"/>
        <w:jc w:val="both"/>
        <w:rPr>
          <w:rFonts w:eastAsia="Times New Roman"/>
          <w:snapToGrid w:val="0"/>
          <w:color w:val="000000"/>
          <w:szCs w:val="24"/>
          <w:lang w:val="en-US" w:eastAsia="en-US"/>
        </w:rPr>
      </w:pPr>
      <m:oMath>
        <m:func>
          <m:funcPr>
            <m:ctrlPr>
              <w:rPr>
                <w:rFonts w:ascii="Cambria Math" w:eastAsia="Times New Roman" w:hAnsi="Cambria Math"/>
                <w:i/>
                <w:snapToGrid w:val="0"/>
                <w:color w:val="000000"/>
                <w:szCs w:val="24"/>
                <w:lang w:val="en-US" w:eastAsia="en-US"/>
              </w:rPr>
            </m:ctrlPr>
          </m:funcPr>
          <m:fName>
            <m:func>
              <m:funcPr>
                <m:ctrlPr>
                  <w:rPr>
                    <w:rFonts w:ascii="Cambria Math" w:eastAsia="Times New Roman" w:hAnsi="Cambria Math"/>
                    <w:snapToGrid w:val="0"/>
                    <w:color w:val="000000"/>
                    <w:szCs w:val="24"/>
                    <w:lang w:val="en-US" w:eastAsia="en-US"/>
                  </w:rPr>
                </m:ctrlPr>
              </m:funcPr>
              <m:fName>
                <m:r>
                  <m:rPr>
                    <m:sty m:val="p"/>
                  </m:rPr>
                  <w:rPr>
                    <w:rFonts w:ascii="Cambria Math" w:eastAsia="Times New Roman" w:hAnsi="Cambria Math"/>
                    <w:snapToGrid w:val="0"/>
                    <w:color w:val="000000"/>
                    <w:szCs w:val="24"/>
                    <w:lang w:val="en-US" w:eastAsia="en-US"/>
                  </w:rPr>
                  <m:t>ln</m:t>
                </m:r>
              </m:fName>
              <m:e>
                <m:f>
                  <m:fPr>
                    <m:ctrlPr>
                      <w:rPr>
                        <w:rFonts w:ascii="Cambria Math" w:eastAsia="Times New Roman" w:hAnsi="Cambria Math"/>
                        <w:i/>
                        <w:snapToGrid w:val="0"/>
                        <w:color w:val="000000"/>
                        <w:szCs w:val="24"/>
                        <w:lang w:val="en-US" w:eastAsia="en-US"/>
                      </w:rPr>
                    </m:ctrlPr>
                  </m:fPr>
                  <m:num>
                    <m:r>
                      <w:rPr>
                        <w:rFonts w:ascii="Cambria Math" w:eastAsia="Times New Roman" w:hAnsi="Cambria Math"/>
                        <w:snapToGrid w:val="0"/>
                        <w:color w:val="000000"/>
                        <w:szCs w:val="24"/>
                        <w:lang w:val="en-US" w:eastAsia="en-US"/>
                      </w:rPr>
                      <m:t>V</m:t>
                    </m:r>
                  </m:num>
                  <m:den>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V</m:t>
                        </m:r>
                      </m:e>
                      <m:sub>
                        <m:r>
                          <w:rPr>
                            <w:rFonts w:ascii="Cambria Math" w:eastAsia="Times New Roman" w:hAnsi="Cambria Math"/>
                            <w:snapToGrid w:val="0"/>
                            <w:color w:val="000000"/>
                            <w:szCs w:val="24"/>
                            <w:lang w:val="en-US" w:eastAsia="en-US"/>
                          </w:rPr>
                          <m:t>0</m:t>
                        </m:r>
                      </m:sub>
                    </m:sSub>
                  </m:den>
                </m:f>
              </m:e>
            </m:func>
          </m:fName>
          <m:e>
            <m:r>
              <w:rPr>
                <w:rFonts w:ascii="Cambria Math" w:eastAsia="Times New Roman" w:hAnsi="Cambria Math"/>
                <w:snapToGrid w:val="0"/>
                <w:color w:val="000000"/>
                <w:szCs w:val="24"/>
                <w:lang w:val="en-US" w:eastAsia="en-US"/>
              </w:rPr>
              <m:t>=-</m:t>
            </m:r>
            <m:f>
              <m:fPr>
                <m:ctrlPr>
                  <w:rPr>
                    <w:rFonts w:ascii="Cambria Math" w:eastAsia="Times New Roman" w:hAnsi="Cambria Math"/>
                    <w:i/>
                    <w:snapToGrid w:val="0"/>
                    <w:color w:val="000000"/>
                    <w:szCs w:val="24"/>
                    <w:lang w:val="en-US" w:eastAsia="en-US"/>
                  </w:rPr>
                </m:ctrlPr>
              </m:fPr>
              <m:num>
                <m:r>
                  <w:rPr>
                    <w:rFonts w:ascii="Cambria Math" w:eastAsia="Times New Roman" w:hAnsi="Cambria Math"/>
                    <w:snapToGrid w:val="0"/>
                    <w:color w:val="000000"/>
                    <w:szCs w:val="24"/>
                    <w:lang w:val="en-US" w:eastAsia="en-US"/>
                  </w:rPr>
                  <m:t>1</m:t>
                </m:r>
              </m:num>
              <m:den>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Sub>
              </m:den>
            </m:f>
            <m:func>
              <m:funcPr>
                <m:ctrlPr>
                  <w:rPr>
                    <w:rFonts w:ascii="Cambria Math" w:eastAsia="Times New Roman" w:hAnsi="Cambria Math"/>
                    <w:i/>
                    <w:snapToGrid w:val="0"/>
                    <w:color w:val="000000"/>
                    <w:szCs w:val="24"/>
                    <w:lang w:val="en-US" w:eastAsia="en-US"/>
                  </w:rPr>
                </m:ctrlPr>
              </m:funcPr>
              <m:fName>
                <m:r>
                  <m:rPr>
                    <m:sty m:val="p"/>
                  </m:rPr>
                  <w:rPr>
                    <w:rFonts w:ascii="Cambria Math" w:eastAsia="Times New Roman" w:hAnsi="Cambria Math"/>
                    <w:snapToGrid w:val="0"/>
                    <w:color w:val="000000"/>
                    <w:szCs w:val="24"/>
                    <w:lang w:val="en-US" w:eastAsia="en-US"/>
                  </w:rPr>
                  <m:t>ln</m:t>
                </m:r>
              </m:fName>
              <m:e>
                <m:d>
                  <m:dPr>
                    <m:begChr m:val="["/>
                    <m:endChr m:val="]"/>
                    <m:ctrlPr>
                      <w:rPr>
                        <w:rFonts w:ascii="Cambria Math" w:eastAsia="Times New Roman" w:hAnsi="Cambria Math"/>
                        <w:i/>
                        <w:snapToGrid w:val="0"/>
                        <w:color w:val="000000"/>
                        <w:szCs w:val="24"/>
                        <w:lang w:val="en-US" w:eastAsia="en-US"/>
                      </w:rPr>
                    </m:ctrlPr>
                  </m:dPr>
                  <m:e>
                    <m:f>
                      <m:fPr>
                        <m:ctrlPr>
                          <w:rPr>
                            <w:rFonts w:ascii="Cambria Math" w:eastAsia="Times New Roman" w:hAnsi="Cambria Math"/>
                            <w:i/>
                            <w:snapToGrid w:val="0"/>
                            <w:color w:val="000000"/>
                            <w:szCs w:val="24"/>
                            <w:lang w:val="en-US" w:eastAsia="en-US"/>
                          </w:rPr>
                        </m:ctrlPr>
                      </m:fPr>
                      <m:num>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up>
                            <m:r>
                              <w:rPr>
                                <w:rFonts w:ascii="Cambria Math" w:eastAsia="Times New Roman" w:hAnsi="Cambria Math"/>
                                <w:snapToGrid w:val="0"/>
                                <w:color w:val="000000"/>
                                <w:szCs w:val="24"/>
                                <w:lang w:val="en-US" w:eastAsia="en-US"/>
                              </w:rPr>
                              <m:t>*</m:t>
                            </m:r>
                          </m:sup>
                        </m:sSubSup>
                        <m:d>
                          <m:dPr>
                            <m:ctrlPr>
                              <w:rPr>
                                <w:rFonts w:ascii="Cambria Math" w:eastAsia="Times New Roman" w:hAnsi="Cambria Math"/>
                                <w:i/>
                                <w:snapToGrid w:val="0"/>
                                <w:color w:val="000000"/>
                                <w:szCs w:val="24"/>
                                <w:lang w:val="en-US" w:eastAsia="en-US"/>
                              </w:rPr>
                            </m:ctrlPr>
                          </m:dPr>
                          <m:e>
                            <m:r>
                              <w:rPr>
                                <w:rFonts w:ascii="Cambria Math" w:eastAsia="Times New Roman" w:hAnsi="Cambria Math"/>
                                <w:snapToGrid w:val="0"/>
                                <w:color w:val="000000"/>
                                <w:szCs w:val="24"/>
                                <w:lang w:val="en-US" w:eastAsia="en-US"/>
                              </w:rPr>
                              <m:t>T</m:t>
                            </m:r>
                          </m:e>
                        </m:d>
                        <m:r>
                          <w:rPr>
                            <w:rFonts w:ascii="Cambria Math" w:eastAsia="Times New Roman" w:hAnsi="Cambria Math"/>
                            <w:snapToGrid w:val="0"/>
                            <w:color w:val="000000"/>
                            <w:szCs w:val="24"/>
                            <w:lang w:val="en-US" w:eastAsia="en-US"/>
                          </w:rPr>
                          <m:t>+</m:t>
                        </m:r>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Sub>
                        <m:r>
                          <w:rPr>
                            <w:rFonts w:ascii="Cambria Math" w:eastAsia="Times New Roman" w:hAnsi="Cambria Math"/>
                            <w:snapToGrid w:val="0"/>
                            <w:color w:val="000000"/>
                            <w:szCs w:val="24"/>
                            <w:lang w:val="en-US" w:eastAsia="en-US"/>
                          </w:rPr>
                          <m:t>p</m:t>
                        </m:r>
                      </m:num>
                      <m:den>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up>
                            <m:r>
                              <w:rPr>
                                <w:rFonts w:ascii="Cambria Math" w:eastAsia="Times New Roman" w:hAnsi="Cambria Math"/>
                                <w:snapToGrid w:val="0"/>
                                <w:color w:val="000000"/>
                                <w:szCs w:val="24"/>
                                <w:lang w:val="en-US" w:eastAsia="en-US"/>
                              </w:rPr>
                              <m:t>*</m:t>
                            </m:r>
                          </m:sup>
                        </m:sSubSup>
                        <m:d>
                          <m:dPr>
                            <m:ctrlPr>
                              <w:rPr>
                                <w:rFonts w:ascii="Cambria Math" w:eastAsia="Times New Roman" w:hAnsi="Cambria Math"/>
                                <w:i/>
                                <w:snapToGrid w:val="0"/>
                                <w:color w:val="000000"/>
                                <w:szCs w:val="24"/>
                                <w:lang w:val="en-US" w:eastAsia="en-US"/>
                              </w:rPr>
                            </m:ctrlPr>
                          </m:dPr>
                          <m:e>
                            <m:r>
                              <w:rPr>
                                <w:rFonts w:ascii="Cambria Math" w:eastAsia="Times New Roman" w:hAnsi="Cambria Math"/>
                                <w:snapToGrid w:val="0"/>
                                <w:color w:val="000000"/>
                                <w:szCs w:val="24"/>
                                <w:lang w:val="en-US" w:eastAsia="en-US"/>
                              </w:rPr>
                              <m:t>T</m:t>
                            </m:r>
                          </m:e>
                        </m:d>
                        <m:r>
                          <w:rPr>
                            <w:rFonts w:ascii="Cambria Math" w:eastAsia="Times New Roman" w:hAnsi="Cambria Math"/>
                            <w:snapToGrid w:val="0"/>
                            <w:color w:val="000000"/>
                            <w:szCs w:val="24"/>
                            <w:lang w:val="en-US" w:eastAsia="en-US"/>
                          </w:rPr>
                          <m:t>+</m:t>
                        </m:r>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Sub>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p</m:t>
                            </m:r>
                          </m:e>
                          <m:sub>
                            <m:r>
                              <w:rPr>
                                <w:rFonts w:ascii="Cambria Math" w:eastAsia="Times New Roman" w:hAnsi="Cambria Math"/>
                                <w:snapToGrid w:val="0"/>
                                <w:color w:val="000000"/>
                                <w:szCs w:val="24"/>
                                <w:lang w:val="en-US" w:eastAsia="en-US"/>
                              </w:rPr>
                              <m:t>0</m:t>
                            </m:r>
                          </m:sub>
                        </m:sSub>
                      </m:den>
                    </m:f>
                  </m:e>
                </m:d>
              </m:e>
            </m:func>
          </m:e>
        </m:func>
      </m:oMath>
      <w:r w:rsidR="00BC4B5A" w:rsidRPr="00BC4B5A">
        <w:rPr>
          <w:rFonts w:eastAsia="Times New Roman"/>
          <w:snapToGrid w:val="0"/>
          <w:color w:val="000000"/>
          <w:szCs w:val="24"/>
          <w:lang w:val="en-US" w:eastAsia="en-US"/>
        </w:rPr>
        <w:t>,</w:t>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r>
      <w:r w:rsidR="00BC4B5A" w:rsidRPr="00BC4B5A">
        <w:rPr>
          <w:rFonts w:eastAsia="Times New Roman"/>
          <w:snapToGrid w:val="0"/>
          <w:color w:val="000000"/>
          <w:szCs w:val="24"/>
          <w:lang w:val="en-US" w:eastAsia="en-US"/>
        </w:rPr>
        <w:tab/>
        <w:t>(9)</w:t>
      </w:r>
    </w:p>
    <w:p w:rsidR="00BC4B5A" w:rsidRPr="00BC4B5A" w:rsidRDefault="00BC4B5A" w:rsidP="00BC4B5A">
      <w:pPr>
        <w:widowControl w:val="0"/>
        <w:autoSpaceDE w:val="0"/>
        <w:autoSpaceDN w:val="0"/>
        <w:adjustRightInd w:val="0"/>
        <w:spacing w:after="0" w:line="240" w:lineRule="auto"/>
        <w:jc w:val="both"/>
        <w:rPr>
          <w:rFonts w:eastAsia="Times New Roman"/>
          <w:snapToGrid w:val="0"/>
          <w:szCs w:val="24"/>
          <w:lang w:val="en-US" w:eastAsia="en-US"/>
        </w:rPr>
      </w:pPr>
    </w:p>
    <w:p w:rsidR="00BC4B5A" w:rsidRPr="00BC4B5A" w:rsidRDefault="00BC4B5A" w:rsidP="00BC4B5A">
      <w:pPr>
        <w:widowControl w:val="0"/>
        <w:autoSpaceDE w:val="0"/>
        <w:autoSpaceDN w:val="0"/>
        <w:adjustRightInd w:val="0"/>
        <w:spacing w:after="0" w:line="240" w:lineRule="auto"/>
        <w:jc w:val="both"/>
        <w:rPr>
          <w:rFonts w:eastAsia="Times New Roman"/>
          <w:snapToGrid w:val="0"/>
          <w:szCs w:val="24"/>
          <w:lang w:val="en-US" w:eastAsia="en-US"/>
        </w:rPr>
      </w:pPr>
      <w:r w:rsidRPr="00BC4B5A">
        <w:rPr>
          <w:rFonts w:eastAsia="Times New Roman"/>
          <w:snapToGrid w:val="0"/>
          <w:szCs w:val="24"/>
          <w:lang w:val="en-US" w:eastAsia="en-US"/>
        </w:rPr>
        <w:t xml:space="preserve">by a non-linear least-squares procedure. In Equations 1-9, </w:t>
      </w: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α</m:t>
            </m:r>
          </m:e>
          <m:sub>
            <m:r>
              <w:rPr>
                <w:rFonts w:ascii="Cambria Math" w:eastAsia="Times New Roman" w:hAnsi="Cambria Math"/>
                <w:snapToGrid w:val="0"/>
                <w:szCs w:val="24"/>
                <w:lang w:val="en-US" w:eastAsia="en-US"/>
              </w:rPr>
              <m:t>f</m:t>
            </m:r>
          </m:sub>
        </m:sSub>
      </m:oMath>
      <w:r w:rsidRPr="00BC4B5A">
        <w:rPr>
          <w:rFonts w:eastAsia="Times New Roman"/>
          <w:snapToGrid w:val="0"/>
          <w:szCs w:val="24"/>
          <w:lang w:val="en-US" w:eastAsia="en-US"/>
        </w:rPr>
        <w:t xml:space="preserve"> denotes expansivity (i.e., the isobaric cubic thermal expansion coefficient) of the fractional free volume, </w:t>
      </w:r>
      <w:r w:rsidRPr="00BC4B5A">
        <w:rPr>
          <w:rFonts w:eastAsia="Times New Roman"/>
          <w:i/>
          <w:snapToGrid w:val="0"/>
          <w:szCs w:val="24"/>
          <w:lang w:val="en-US" w:eastAsia="en-US"/>
        </w:rPr>
        <w:t>f</w:t>
      </w:r>
      <w:r w:rsidRPr="00BC4B5A">
        <w:rPr>
          <w:rFonts w:eastAsia="Times New Roman"/>
          <w:snapToGrid w:val="0"/>
          <w:szCs w:val="24"/>
          <w:vertAlign w:val="subscript"/>
          <w:lang w:val="en-US" w:eastAsia="en-US"/>
        </w:rPr>
        <w:t>0</w:t>
      </w:r>
      <w:r w:rsidRPr="00BC4B5A">
        <w:rPr>
          <w:rFonts w:eastAsia="Times New Roman"/>
          <w:snapToGrid w:val="0"/>
          <w:szCs w:val="24"/>
          <w:lang w:val="en-US" w:eastAsia="en-US"/>
        </w:rPr>
        <w:t xml:space="preserve"> = </w:t>
      </w:r>
      <w:r w:rsidRPr="00BC4B5A">
        <w:rPr>
          <w:rFonts w:eastAsia="Times New Roman"/>
          <w:i/>
          <w:snapToGrid w:val="0"/>
          <w:szCs w:val="24"/>
          <w:lang w:val="en-US" w:eastAsia="en-US"/>
        </w:rPr>
        <w:t>f</w:t>
      </w:r>
      <w:r w:rsidRPr="00BC4B5A">
        <w:rPr>
          <w:rFonts w:eastAsia="Times New Roman"/>
          <w:snapToGrid w:val="0"/>
          <w:szCs w:val="24"/>
          <w:lang w:val="en-US" w:eastAsia="en-US"/>
        </w:rPr>
        <w:t>(</w:t>
      </w:r>
      <w:r w:rsidRPr="00BC4B5A">
        <w:rPr>
          <w:rFonts w:eastAsia="Times New Roman"/>
          <w:i/>
          <w:snapToGrid w:val="0"/>
          <w:szCs w:val="24"/>
          <w:lang w:val="en-US" w:eastAsia="en-US"/>
        </w:rPr>
        <w:t>p</w:t>
      </w:r>
      <w:r w:rsidRPr="00BC4B5A">
        <w:rPr>
          <w:rFonts w:eastAsia="Times New Roman"/>
          <w:snapToGrid w:val="0"/>
          <w:szCs w:val="24"/>
          <w:vertAlign w:val="subscript"/>
          <w:lang w:val="en-US" w:eastAsia="en-US"/>
        </w:rPr>
        <w:t>0</w:t>
      </w:r>
      <w:r w:rsidRPr="00BC4B5A">
        <w:rPr>
          <w:rFonts w:eastAsia="Times New Roman"/>
          <w:snapToGrid w:val="0"/>
          <w:szCs w:val="24"/>
          <w:lang w:val="en-US" w:eastAsia="en-US"/>
        </w:rPr>
        <w:t xml:space="preserve">) is fractional free volume at reference pressure, </w:t>
      </w:r>
      <m:oMath>
        <m:sSubSup>
          <m:sSubSupPr>
            <m:ctrlPr>
              <w:rPr>
                <w:rFonts w:ascii="Cambria Math" w:eastAsia="Times New Roman" w:hAnsi="Cambria Math"/>
                <w:i/>
                <w:snapToGrid w:val="0"/>
                <w:szCs w:val="24"/>
                <w:lang w:val="en-US" w:eastAsia="en-US"/>
              </w:rPr>
            </m:ctrlPr>
          </m:sSubSupPr>
          <m:e>
            <m:r>
              <w:rPr>
                <w:rFonts w:ascii="Cambria Math" w:eastAsia="Times New Roman" w:hAnsi="Cambria Math"/>
                <w:snapToGrid w:val="0"/>
                <w:szCs w:val="24"/>
                <w:lang w:val="en-US" w:eastAsia="en-US"/>
              </w:rPr>
              <m:t>K</m:t>
            </m:r>
          </m:e>
          <m:sub>
            <m:r>
              <w:rPr>
                <w:rFonts w:ascii="Cambria Math" w:eastAsia="Times New Roman" w:hAnsi="Cambria Math"/>
                <w:snapToGrid w:val="0"/>
                <w:szCs w:val="24"/>
                <w:lang w:val="en-US" w:eastAsia="en-US"/>
              </w:rPr>
              <m:t>e</m:t>
            </m:r>
          </m:sub>
          <m:sup>
            <m:r>
              <w:rPr>
                <w:rFonts w:ascii="Cambria Math" w:eastAsia="Times New Roman" w:hAnsi="Cambria Math"/>
                <w:snapToGrid w:val="0"/>
                <w:szCs w:val="24"/>
                <w:lang w:val="en-US" w:eastAsia="en-US"/>
              </w:rPr>
              <m:t>*</m:t>
            </m:r>
          </m:sup>
        </m:sSubSup>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T</m:t>
            </m:r>
          </m:e>
        </m:d>
        <m:r>
          <w:rPr>
            <w:rFonts w:ascii="Cambria Math" w:eastAsia="Times New Roman" w:hAnsi="Cambria Math"/>
            <w:snapToGrid w:val="0"/>
            <w:szCs w:val="24"/>
            <w:lang w:val="en-US" w:eastAsia="en-US"/>
          </w:rPr>
          <m:t xml:space="preserve">= </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K</m:t>
            </m:r>
          </m:e>
          <m:sub>
            <m:r>
              <w:rPr>
                <w:rFonts w:ascii="Cambria Math" w:eastAsia="Times New Roman" w:hAnsi="Cambria Math"/>
                <w:snapToGrid w:val="0"/>
                <w:szCs w:val="24"/>
                <w:lang w:val="en-US" w:eastAsia="en-US"/>
              </w:rPr>
              <m:t>e</m:t>
            </m:r>
          </m:sub>
        </m:sSub>
        <m:r>
          <w:rPr>
            <w:rFonts w:ascii="Cambria Math" w:eastAsia="Times New Roman" w:hAnsi="Cambria Math"/>
            <w:snapToGrid w:val="0"/>
            <w:szCs w:val="24"/>
            <w:lang w:val="en-US" w:eastAsia="en-US"/>
          </w:rPr>
          <m:t>(T)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m:t>
            </m:r>
          </m:e>
          <m:sub>
            <m:r>
              <w:rPr>
                <w:rFonts w:ascii="Cambria Math" w:eastAsia="Times New Roman" w:hAnsi="Cambria Math"/>
                <w:snapToGrid w:val="0"/>
                <w:szCs w:val="24"/>
                <w:lang w:val="en-US" w:eastAsia="en-US"/>
              </w:rPr>
              <m:t>p=0</m:t>
            </m:r>
          </m:sub>
        </m:sSub>
      </m:oMath>
      <w:r w:rsidRPr="00BC4B5A">
        <w:rPr>
          <w:rFonts w:eastAsia="Times New Roman"/>
          <w:snapToGrid w:val="0"/>
          <w:szCs w:val="24"/>
          <w:lang w:val="en-US" w:eastAsia="en-US"/>
        </w:rPr>
        <w:t xml:space="preserve"> is the bulk modulus at atmospheric pressure, and </w:t>
      </w: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k</m:t>
            </m:r>
          </m:e>
          <m:sub>
            <m:r>
              <w:rPr>
                <w:rFonts w:ascii="Cambria Math" w:eastAsia="Times New Roman" w:hAnsi="Cambria Math"/>
                <w:snapToGrid w:val="0"/>
                <w:szCs w:val="24"/>
                <w:lang w:val="en-US" w:eastAsia="en-US"/>
              </w:rPr>
              <m:t>e</m:t>
            </m:r>
          </m:sub>
        </m:sSub>
      </m:oMath>
      <w:r w:rsidRPr="00BC4B5A">
        <w:rPr>
          <w:rFonts w:eastAsia="Times New Roman"/>
          <w:snapToGrid w:val="0"/>
          <w:szCs w:val="24"/>
          <w:lang w:val="en-US" w:eastAsia="en-US"/>
        </w:rPr>
        <w:t xml:space="preserve"> is a proportionality constant deemed independent of either pressure or temperature. </w:t>
      </w:r>
      <w:r w:rsidRPr="00BC4B5A">
        <w:rPr>
          <w:rFonts w:eastAsia="Times New Roman"/>
          <w:snapToGrid w:val="0"/>
          <w:color w:val="000000"/>
          <w:szCs w:val="24"/>
          <w:lang w:val="en-US" w:eastAsia="en-US"/>
        </w:rPr>
        <w:t xml:space="preserve">FMT constants </w:t>
      </w:r>
      <w:r w:rsidRPr="00BC4B5A">
        <w:rPr>
          <w:rFonts w:eastAsia="Times New Roman"/>
          <w:i/>
          <w:snapToGrid w:val="0"/>
          <w:color w:val="000000"/>
          <w:szCs w:val="24"/>
          <w:lang w:val="en-US" w:eastAsia="en-US"/>
        </w:rPr>
        <w:t>C</w:t>
      </w:r>
      <w:r w:rsidRPr="00BC4B5A">
        <w:rPr>
          <w:rFonts w:eastAsia="Times New Roman"/>
          <w:snapToGrid w:val="0"/>
          <w:color w:val="000000"/>
          <w:szCs w:val="24"/>
          <w:vertAlign w:val="subscript"/>
          <w:lang w:val="en-US" w:eastAsia="en-US"/>
        </w:rPr>
        <w:t>1</w:t>
      </w:r>
      <w:r w:rsidRPr="00BC4B5A">
        <w:rPr>
          <w:rFonts w:eastAsia="Times New Roman"/>
          <w:snapToGrid w:val="0"/>
          <w:color w:val="000000"/>
          <w:szCs w:val="24"/>
          <w:lang w:val="en-US" w:eastAsia="en-US"/>
        </w:rPr>
        <w:t xml:space="preserve"> and </w:t>
      </w:r>
      <w:r w:rsidRPr="00BC4B5A">
        <w:rPr>
          <w:rFonts w:eastAsia="Times New Roman"/>
          <w:i/>
          <w:snapToGrid w:val="0"/>
          <w:color w:val="000000"/>
          <w:szCs w:val="24"/>
          <w:lang w:val="en-US" w:eastAsia="en-US"/>
        </w:rPr>
        <w:t>C</w:t>
      </w:r>
      <w:r w:rsidRPr="00BC4B5A">
        <w:rPr>
          <w:rFonts w:eastAsia="Times New Roman"/>
          <w:snapToGrid w:val="0"/>
          <w:color w:val="000000"/>
          <w:szCs w:val="24"/>
          <w:vertAlign w:val="subscript"/>
          <w:lang w:val="en-US" w:eastAsia="en-US"/>
        </w:rPr>
        <w:t>2</w:t>
      </w:r>
      <w:r w:rsidRPr="00BC4B5A">
        <w:rPr>
          <w:rFonts w:eastAsia="Times New Roman"/>
          <w:snapToGrid w:val="0"/>
          <w:color w:val="000000"/>
          <w:szCs w:val="24"/>
          <w:lang w:val="en-US" w:eastAsia="en-US"/>
        </w:rPr>
        <w:t xml:space="preserve"> were obtained through time-temperature-pressure superposition. Volumetric measurements were used to determine material parameters </w:t>
      </w:r>
      <m:oMath>
        <m:sSubSup>
          <m:sSubSupPr>
            <m:ctrlPr>
              <w:rPr>
                <w:rFonts w:ascii="Cambria Math" w:eastAsia="Times New Roman" w:hAnsi="Cambria Math"/>
                <w:i/>
                <w:snapToGrid w:val="0"/>
                <w:color w:val="000000"/>
                <w:szCs w:val="24"/>
                <w:lang w:val="en-US" w:eastAsia="en-US"/>
              </w:rPr>
            </m:ctrlPr>
          </m:sSubSup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up>
            <m:r>
              <w:rPr>
                <w:rFonts w:ascii="Cambria Math" w:eastAsia="Times New Roman" w:hAnsi="Cambria Math"/>
                <w:snapToGrid w:val="0"/>
                <w:color w:val="000000"/>
                <w:szCs w:val="24"/>
                <w:lang w:val="en-US" w:eastAsia="en-US"/>
              </w:rPr>
              <m:t>*</m:t>
            </m:r>
          </m:sup>
        </m:sSubSup>
      </m:oMath>
      <w:r w:rsidRPr="00BC4B5A">
        <w:rPr>
          <w:rFonts w:eastAsia="Times New Roman"/>
          <w:snapToGrid w:val="0"/>
          <w:color w:val="000000"/>
          <w:szCs w:val="24"/>
          <w:lang w:val="en-US" w:eastAsia="en-US"/>
        </w:rPr>
        <w:t xml:space="preserve"> and </w:t>
      </w:r>
      <m:oMath>
        <m:sSub>
          <m:sSubPr>
            <m:ctrlPr>
              <w:rPr>
                <w:rFonts w:ascii="Cambria Math" w:eastAsia="Times New Roman" w:hAnsi="Cambria Math"/>
                <w:i/>
                <w:snapToGrid w:val="0"/>
                <w:color w:val="000000"/>
                <w:szCs w:val="24"/>
                <w:lang w:val="en-US" w:eastAsia="en-US"/>
              </w:rPr>
            </m:ctrlPr>
          </m:sSubPr>
          <m:e>
            <m:r>
              <w:rPr>
                <w:rFonts w:ascii="Cambria Math" w:eastAsia="Times New Roman" w:hAnsi="Cambria Math"/>
                <w:snapToGrid w:val="0"/>
                <w:color w:val="000000"/>
                <w:szCs w:val="24"/>
                <w:lang w:val="en-US" w:eastAsia="en-US"/>
              </w:rPr>
              <m:t>k</m:t>
            </m:r>
          </m:e>
          <m:sub>
            <m:r>
              <w:rPr>
                <w:rFonts w:ascii="Cambria Math" w:eastAsia="Times New Roman" w:hAnsi="Cambria Math"/>
                <w:snapToGrid w:val="0"/>
                <w:color w:val="000000"/>
                <w:szCs w:val="24"/>
                <w:lang w:val="en-US" w:eastAsia="en-US"/>
              </w:rPr>
              <m:t>e</m:t>
            </m:r>
          </m:sub>
        </m:sSub>
      </m:oMath>
      <w:r w:rsidRPr="00BC4B5A">
        <w:rPr>
          <w:rFonts w:eastAsia="Times New Roman"/>
          <w:snapToGrid w:val="0"/>
          <w:color w:val="000000"/>
          <w:szCs w:val="24"/>
          <w:lang w:val="en-US" w:eastAsia="en-US"/>
        </w:rPr>
        <w:t xml:space="preserve"> (and thus </w:t>
      </w:r>
      <w:r w:rsidRPr="00BC4B5A">
        <w:rPr>
          <w:rFonts w:eastAsia="Times New Roman"/>
          <w:i/>
          <w:snapToGrid w:val="0"/>
          <w:color w:val="000000"/>
          <w:szCs w:val="24"/>
          <w:lang w:val="en-US" w:eastAsia="en-US"/>
        </w:rPr>
        <w:t>C</w:t>
      </w:r>
      <w:r w:rsidRPr="00BC4B5A">
        <w:rPr>
          <w:rFonts w:eastAsia="Times New Roman"/>
          <w:snapToGrid w:val="0"/>
          <w:color w:val="000000"/>
          <w:szCs w:val="24"/>
          <w:vertAlign w:val="subscript"/>
          <w:lang w:val="en-US" w:eastAsia="en-US"/>
        </w:rPr>
        <w:t>4</w:t>
      </w:r>
      <w:r w:rsidRPr="00BC4B5A">
        <w:rPr>
          <w:rFonts w:eastAsia="Times New Roman"/>
          <w:snapToGrid w:val="0"/>
          <w:color w:val="000000"/>
          <w:szCs w:val="24"/>
          <w:lang w:val="en-US" w:eastAsia="en-US"/>
        </w:rPr>
        <w:t xml:space="preserve"> using Equation 6) by fitting the Equation 9. For the calculation of the remaining constants </w:t>
      </w:r>
      <w:r w:rsidRPr="00BC4B5A">
        <w:rPr>
          <w:rFonts w:eastAsia="Times New Roman"/>
          <w:i/>
          <w:snapToGrid w:val="0"/>
          <w:color w:val="000000"/>
          <w:szCs w:val="24"/>
          <w:lang w:val="en-US" w:eastAsia="en-US"/>
        </w:rPr>
        <w:t>C</w:t>
      </w:r>
      <w:r w:rsidRPr="00BC4B5A">
        <w:rPr>
          <w:rFonts w:eastAsia="Times New Roman"/>
          <w:snapToGrid w:val="0"/>
          <w:color w:val="000000"/>
          <w:szCs w:val="24"/>
          <w:vertAlign w:val="subscript"/>
          <w:lang w:val="en-US" w:eastAsia="en-US"/>
        </w:rPr>
        <w:t>3</w:t>
      </w:r>
      <w:r w:rsidRPr="00BC4B5A">
        <w:rPr>
          <w:rFonts w:eastAsia="Times New Roman"/>
          <w:snapToGrid w:val="0"/>
          <w:color w:val="000000"/>
          <w:szCs w:val="24"/>
          <w:lang w:val="en-US" w:eastAsia="en-US"/>
        </w:rPr>
        <w:t xml:space="preserve">, </w:t>
      </w:r>
      <w:r w:rsidRPr="00BC4B5A">
        <w:rPr>
          <w:rFonts w:eastAsia="Times New Roman"/>
          <w:i/>
          <w:snapToGrid w:val="0"/>
          <w:color w:val="000000"/>
          <w:szCs w:val="24"/>
          <w:lang w:val="en-US" w:eastAsia="en-US"/>
        </w:rPr>
        <w:t>C</w:t>
      </w:r>
      <w:r w:rsidRPr="00BC4B5A">
        <w:rPr>
          <w:rFonts w:eastAsia="Times New Roman"/>
          <w:snapToGrid w:val="0"/>
          <w:color w:val="000000"/>
          <w:szCs w:val="24"/>
          <w:vertAlign w:val="subscript"/>
          <w:lang w:val="en-US" w:eastAsia="en-US"/>
        </w:rPr>
        <w:t>5</w:t>
      </w:r>
      <w:r w:rsidRPr="00BC4B5A">
        <w:rPr>
          <w:rFonts w:eastAsia="Times New Roman"/>
          <w:snapToGrid w:val="0"/>
          <w:color w:val="000000"/>
          <w:szCs w:val="24"/>
          <w:lang w:val="en-US" w:eastAsia="en-US"/>
        </w:rPr>
        <w:t xml:space="preserve"> and </w:t>
      </w:r>
      <w:r w:rsidRPr="00BC4B5A">
        <w:rPr>
          <w:rFonts w:eastAsia="Times New Roman"/>
          <w:i/>
          <w:snapToGrid w:val="0"/>
          <w:color w:val="000000"/>
          <w:szCs w:val="24"/>
          <w:lang w:val="en-US" w:eastAsia="en-US"/>
        </w:rPr>
        <w:t>C</w:t>
      </w:r>
      <w:r w:rsidRPr="00BC4B5A">
        <w:rPr>
          <w:rFonts w:eastAsia="Times New Roman"/>
          <w:snapToGrid w:val="0"/>
          <w:color w:val="000000"/>
          <w:szCs w:val="24"/>
          <w:vertAlign w:val="subscript"/>
          <w:lang w:val="en-US" w:eastAsia="en-US"/>
        </w:rPr>
        <w:t>6</w:t>
      </w:r>
      <w:r w:rsidRPr="00BC4B5A">
        <w:rPr>
          <w:rFonts w:eastAsia="Times New Roman"/>
          <w:snapToGrid w:val="0"/>
          <w:color w:val="000000"/>
          <w:szCs w:val="24"/>
          <w:lang w:val="en-US" w:eastAsia="en-US"/>
        </w:rPr>
        <w:t>, experimental shift factors obtained from measurements at constant temperature (</w:t>
      </w:r>
      <m:oMath>
        <m:r>
          <w:rPr>
            <w:rFonts w:ascii="Cambria Math" w:eastAsia="Times New Roman" w:hAnsi="Cambria Math"/>
            <w:snapToGrid w:val="0"/>
            <w:color w:val="000000"/>
            <w:szCs w:val="24"/>
            <w:lang w:val="en-US" w:eastAsia="en-US"/>
          </w:rPr>
          <m:t>T=-20°C</m:t>
        </m:r>
      </m:oMath>
      <w:r w:rsidRPr="00BC4B5A">
        <w:rPr>
          <w:rFonts w:eastAsia="Times New Roman"/>
          <w:snapToGrid w:val="0"/>
          <w:color w:val="000000"/>
          <w:szCs w:val="24"/>
          <w:lang w:val="en-US" w:eastAsia="en-US"/>
        </w:rPr>
        <w:t>) and varying pressures, were fitted to Equation 1 using Levenberg-Marquardt algorithm (MATLAB R2015a). Table 1 shows FMT parameters for all three materials.</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z w:val="20"/>
          <w:szCs w:val="24"/>
          <w:lang w:val="en-US" w:eastAsia="en-US"/>
        </w:rPr>
        <w:t>Table 1. FMT parameters</w:t>
      </w:r>
    </w:p>
    <w:p w:rsidR="00BC4B5A" w:rsidRPr="00BC4B5A" w:rsidRDefault="00BC4B5A" w:rsidP="00BC4B5A">
      <w:pPr>
        <w:widowControl w:val="0"/>
        <w:spacing w:after="0" w:line="240" w:lineRule="auto"/>
        <w:jc w:val="both"/>
        <w:rPr>
          <w:rFonts w:eastAsia="Times New Roman"/>
          <w:snapToGrid w:val="0"/>
          <w:szCs w:val="24"/>
          <w:lang w:val="en-US" w:eastAsia="en-US"/>
        </w:rPr>
      </w:pPr>
    </w:p>
    <w:p w:rsidR="00BC4B5A" w:rsidRPr="00BC4B5A" w:rsidRDefault="00BC4B5A" w:rsidP="00BC4B5A">
      <w:pPr>
        <w:widowControl w:val="0"/>
        <w:spacing w:after="0" w:line="240" w:lineRule="auto"/>
        <w:jc w:val="center"/>
        <w:rPr>
          <w:rFonts w:eastAsia="Times New Roman"/>
          <w:snapToGrid w:val="0"/>
          <w:color w:val="000000"/>
          <w:szCs w:val="24"/>
          <w:lang w:val="en-US" w:eastAsia="en-US"/>
        </w:rPr>
      </w:pPr>
      <w:r w:rsidRPr="00BC4B5A">
        <w:rPr>
          <w:rFonts w:eastAsia="Times New Roman"/>
          <w:noProof/>
          <w:snapToGrid w:val="0"/>
          <w:color w:val="000000"/>
          <w:szCs w:val="24"/>
        </w:rPr>
        <w:drawing>
          <wp:inline distT="0" distB="0" distL="0" distR="0" wp14:anchorId="3F0E3D90" wp14:editId="205CA3F7">
            <wp:extent cx="2979420" cy="767080"/>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9420" cy="767080"/>
                    </a:xfrm>
                    <a:prstGeom prst="rect">
                      <a:avLst/>
                    </a:prstGeom>
                  </pic:spPr>
                </pic:pic>
              </a:graphicData>
            </a:graphic>
          </wp:inline>
        </w:drawing>
      </w:r>
    </w:p>
    <w:p w:rsidR="00BC4B5A" w:rsidRPr="00BC4B5A" w:rsidRDefault="00BC4B5A" w:rsidP="00BC4B5A">
      <w:pPr>
        <w:widowControl w:val="0"/>
        <w:spacing w:after="0" w:line="240" w:lineRule="auto"/>
        <w:ind w:firstLine="284"/>
        <w:jc w:val="both"/>
        <w:rPr>
          <w:rFonts w:eastAsia="Times New Roman"/>
          <w:snapToGrid w:val="0"/>
          <w:color w:val="000000"/>
          <w:sz w:val="20"/>
          <w:szCs w:val="24"/>
          <w:lang w:val="en-US" w:eastAsia="en-US"/>
        </w:rPr>
      </w:pP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Due to the space limitation, we do not show results on shear relaxation, </w:t>
      </w:r>
      <w:r w:rsidRPr="00BC4B5A">
        <w:rPr>
          <w:rFonts w:eastAsia="Times New Roman"/>
          <w:i/>
          <w:snapToGrid w:val="0"/>
          <w:color w:val="000000"/>
          <w:szCs w:val="24"/>
          <w:lang w:val="en-US" w:eastAsia="en-US"/>
        </w:rPr>
        <w:t>G</w:t>
      </w:r>
      <w:r w:rsidRPr="00BC4B5A">
        <w:rPr>
          <w:rFonts w:eastAsia="Times New Roman"/>
          <w:snapToGrid w:val="0"/>
          <w:color w:val="000000"/>
          <w:szCs w:val="24"/>
          <w:lang w:val="en-US" w:eastAsia="en-US"/>
        </w:rPr>
        <w:t>(</w:t>
      </w:r>
      <w:r w:rsidRPr="00BC4B5A">
        <w:rPr>
          <w:rFonts w:eastAsia="Times New Roman"/>
          <w:i/>
          <w:snapToGrid w:val="0"/>
          <w:color w:val="000000"/>
          <w:szCs w:val="24"/>
          <w:lang w:val="en-US" w:eastAsia="en-US"/>
        </w:rPr>
        <w:t>t</w:t>
      </w:r>
      <w:r w:rsidRPr="00BC4B5A">
        <w:rPr>
          <w:rFonts w:eastAsia="Times New Roman"/>
          <w:snapToGrid w:val="0"/>
          <w:color w:val="000000"/>
          <w:szCs w:val="24"/>
          <w:lang w:val="en-US" w:eastAsia="en-US"/>
        </w:rPr>
        <w:t xml:space="preserve">), mastercurves, which were interconverted into the frequency domain, to obtain the storage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and the loss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moduli for the three examined materials. Frequency domain material functions, the storage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and the loss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moduli, are shown in Figure 6, in double logarithmic and semi-logarithmic coordinate systems. Figures 6(a) and (c) show the storage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whereas Figures 6(b) and (d) the loss moduli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The storage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which defines the vibro-isolation stiffness, increases with excitation frequency for about 100 times for 1190A and 1195D, and for about 10 times for 1175A. However, as seen from the semi-logarithmic diagrams, within the frequency range indicated as shaded area that is of interest for engineering applications, their stiffness is quite low. In the case of 1175A we may see that it behaves elastically, i.e., its storage modulus is almost constant, up to 10</w:t>
      </w:r>
      <w:r w:rsidRPr="00BC4B5A">
        <w:rPr>
          <w:rFonts w:eastAsia="Times New Roman"/>
          <w:snapToGrid w:val="0"/>
          <w:color w:val="000000"/>
          <w:szCs w:val="24"/>
          <w:vertAlign w:val="superscript"/>
          <w:lang w:val="en-US" w:eastAsia="en-US"/>
        </w:rPr>
        <w:t>4</w:t>
      </w:r>
      <w:r w:rsidRPr="00BC4B5A">
        <w:rPr>
          <w:rFonts w:eastAsia="Times New Roman"/>
          <w:snapToGrid w:val="0"/>
          <w:color w:val="000000"/>
          <w:szCs w:val="24"/>
          <w:lang w:val="en-US" w:eastAsia="en-US"/>
        </w:rPr>
        <w:t>Hz, whereas, within the same frequency range, the stiffness of other two materials exhibit quite strong frequency dependence. From double logarithmic diagram, we see that 1175A exhibits abrupt transition at 10</w:t>
      </w:r>
      <w:r w:rsidRPr="00BC4B5A">
        <w:rPr>
          <w:rFonts w:eastAsia="Times New Roman"/>
          <w:snapToGrid w:val="0"/>
          <w:color w:val="000000"/>
          <w:szCs w:val="24"/>
          <w:vertAlign w:val="superscript"/>
          <w:lang w:val="en-US" w:eastAsia="en-US"/>
        </w:rPr>
        <w:t>4</w:t>
      </w:r>
      <w:r w:rsidRPr="00BC4B5A">
        <w:rPr>
          <w:rFonts w:eastAsia="Times New Roman"/>
          <w:snapToGrid w:val="0"/>
          <w:color w:val="000000"/>
          <w:szCs w:val="24"/>
          <w:lang w:val="en-US" w:eastAsia="en-US"/>
        </w:rPr>
        <w:t xml:space="preserve">Hz, while for the other two materials this transition is much more gradual. </w:t>
      </w:r>
    </w:p>
    <w:p w:rsidR="00BC4B5A" w:rsidRPr="00BC4B5A" w:rsidRDefault="00BC4B5A" w:rsidP="00BC4B5A">
      <w:pPr>
        <w:widowControl w:val="0"/>
        <w:tabs>
          <w:tab w:val="left" w:pos="-720"/>
          <w:tab w:val="left" w:pos="284"/>
        </w:tabs>
        <w:spacing w:after="0" w:line="240" w:lineRule="auto"/>
        <w:jc w:val="center"/>
        <w:rPr>
          <w:rFonts w:eastAsia="Times New Roman"/>
          <w:snapToGrid w:val="0"/>
          <w:szCs w:val="24"/>
          <w:lang w:eastAsia="en-US"/>
        </w:rPr>
      </w:pPr>
      <w:r w:rsidRPr="00BC4B5A">
        <w:rPr>
          <w:rFonts w:eastAsia="Times New Roman"/>
          <w:noProof/>
          <w:snapToGrid w:val="0"/>
          <w:color w:val="000000"/>
          <w:sz w:val="24"/>
          <w:szCs w:val="24"/>
        </w:rPr>
        <w:lastRenderedPageBreak/>
        <w:drawing>
          <wp:inline distT="0" distB="0" distL="0" distR="0" wp14:anchorId="51E5391C" wp14:editId="61CCD577">
            <wp:extent cx="3020040" cy="2630523"/>
            <wp:effectExtent l="0" t="0" r="3175" b="1143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4949" cy="2643509"/>
                    </a:xfrm>
                    <a:prstGeom prst="rect">
                      <a:avLst/>
                    </a:prstGeom>
                    <a:noFill/>
                    <a:ln>
                      <a:noFill/>
                    </a:ln>
                  </pic:spPr>
                </pic:pic>
              </a:graphicData>
            </a:graphic>
          </wp:inline>
        </w:drawing>
      </w:r>
    </w:p>
    <w:p w:rsidR="00BC4B5A" w:rsidRPr="00BC4B5A" w:rsidRDefault="00BC4B5A" w:rsidP="00BC4B5A">
      <w:pPr>
        <w:widowControl w:val="0"/>
        <w:tabs>
          <w:tab w:val="left" w:pos="-720"/>
          <w:tab w:val="left" w:pos="284"/>
        </w:tabs>
        <w:spacing w:after="0" w:line="240" w:lineRule="auto"/>
        <w:jc w:val="center"/>
        <w:rPr>
          <w:rFonts w:eastAsia="Times New Roman"/>
          <w:snapToGrid w:val="0"/>
          <w:szCs w:val="24"/>
          <w:lang w:eastAsia="en-US"/>
        </w:rPr>
      </w:pP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z w:val="20"/>
          <w:szCs w:val="24"/>
          <w:lang w:val="en-US" w:eastAsia="en-US"/>
        </w:rPr>
        <w:t xml:space="preserve">Figure 6. Shear storage modulus </w:t>
      </w:r>
      <m:oMath>
        <m:r>
          <w:rPr>
            <w:rFonts w:ascii="Cambria Math" w:eastAsia="Times New Roman" w:hAnsi="Cambria Math"/>
            <w:snapToGrid w:val="0"/>
            <w:sz w:val="20"/>
            <w:szCs w:val="24"/>
            <w:lang w:val="en-US" w:eastAsia="en-US"/>
          </w:rPr>
          <m:t>G'(ω)</m:t>
        </m:r>
      </m:oMath>
      <w:r w:rsidRPr="00BC4B5A">
        <w:rPr>
          <w:rFonts w:eastAsia="Times New Roman"/>
          <w:snapToGrid w:val="0"/>
          <w:sz w:val="20"/>
          <w:szCs w:val="24"/>
          <w:lang w:val="en-US" w:eastAsia="en-US"/>
        </w:rPr>
        <w:t xml:space="preserve"> in (a) double logarithmic and (b) semi-logarithmic coordinate systems; and shear loss modulus </w:t>
      </w:r>
      <m:oMath>
        <m:r>
          <w:rPr>
            <w:rFonts w:ascii="Cambria Math" w:eastAsia="Times New Roman" w:hAnsi="Cambria Math"/>
            <w:snapToGrid w:val="0"/>
            <w:sz w:val="20"/>
            <w:szCs w:val="24"/>
            <w:lang w:val="en-US" w:eastAsia="en-US"/>
          </w:rPr>
          <m:t>G''(ω)</m:t>
        </m:r>
      </m:oMath>
      <w:r w:rsidRPr="00BC4B5A">
        <w:rPr>
          <w:rFonts w:eastAsia="Times New Roman"/>
          <w:snapToGrid w:val="0"/>
          <w:sz w:val="20"/>
          <w:szCs w:val="24"/>
          <w:lang w:val="en-US" w:eastAsia="en-US"/>
        </w:rPr>
        <w:t xml:space="preserve"> in (c) double logarithmic and (d) semi-logarithmic coordinate systems. All figures are shown at </w:t>
      </w:r>
      <w:r w:rsidRPr="00BC4B5A">
        <w:rPr>
          <w:rFonts w:eastAsia="Times New Roman"/>
          <w:i/>
          <w:snapToGrid w:val="0"/>
          <w:sz w:val="20"/>
          <w:szCs w:val="24"/>
          <w:lang w:val="en-US" w:eastAsia="en-US"/>
        </w:rPr>
        <w:t>T</w:t>
      </w:r>
      <w:r w:rsidRPr="00BC4B5A">
        <w:rPr>
          <w:rFonts w:eastAsia="Times New Roman"/>
          <w:snapToGrid w:val="0"/>
          <w:sz w:val="20"/>
          <w:szCs w:val="24"/>
          <w:vertAlign w:val="subscript"/>
          <w:lang w:val="en-US" w:eastAsia="en-US"/>
        </w:rPr>
        <w:t>ref</w:t>
      </w:r>
      <w:r w:rsidRPr="00BC4B5A">
        <w:rPr>
          <w:rFonts w:eastAsia="Times New Roman"/>
          <w:snapToGrid w:val="0"/>
          <w:sz w:val="20"/>
          <w:szCs w:val="24"/>
          <w:lang w:val="en-US" w:eastAsia="en-US"/>
        </w:rPr>
        <w:t xml:space="preserve"> = 20C and </w:t>
      </w:r>
      <w:r w:rsidRPr="00BC4B5A">
        <w:rPr>
          <w:rFonts w:eastAsia="Times New Roman"/>
          <w:i/>
          <w:snapToGrid w:val="0"/>
          <w:sz w:val="20"/>
          <w:szCs w:val="24"/>
          <w:lang w:val="en-US" w:eastAsia="en-US"/>
        </w:rPr>
        <w:t>p</w:t>
      </w:r>
      <w:r w:rsidRPr="00BC4B5A">
        <w:rPr>
          <w:rFonts w:eastAsia="Times New Roman"/>
          <w:snapToGrid w:val="0"/>
          <w:sz w:val="20"/>
          <w:szCs w:val="24"/>
          <w:vertAlign w:val="subscript"/>
          <w:lang w:val="en-US" w:eastAsia="en-US"/>
        </w:rPr>
        <w:t>ref</w:t>
      </w:r>
      <w:r w:rsidRPr="00BC4B5A">
        <w:rPr>
          <w:rFonts w:eastAsia="Times New Roman"/>
          <w:snapToGrid w:val="0"/>
          <w:sz w:val="20"/>
          <w:szCs w:val="24"/>
          <w:lang w:val="en-US" w:eastAsia="en-US"/>
        </w:rPr>
        <w:t xml:space="preserve"> = 0.1MPa.</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The loss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also increases with excitation frequency for all three materials, again for about 100 times for 1190A and 1195D, and for about 10 times for 1175A. Since the loss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defines the damping ability of a vibro-isolation, the higher values mean better damping. However, from the Figures 6(b) and (d) we may see that maximal measured values in all three cases are located at very high frequencies, between 10</w:t>
      </w:r>
      <w:r w:rsidRPr="00BC4B5A">
        <w:rPr>
          <w:rFonts w:eastAsia="Times New Roman"/>
          <w:snapToGrid w:val="0"/>
          <w:color w:val="000000"/>
          <w:szCs w:val="24"/>
          <w:vertAlign w:val="superscript"/>
          <w:lang w:val="en-US" w:eastAsia="en-US"/>
        </w:rPr>
        <w:t>8</w:t>
      </w:r>
      <w:r w:rsidRPr="00BC4B5A">
        <w:rPr>
          <w:rFonts w:eastAsia="Calibri Light"/>
          <w:snapToGrid w:val="0"/>
          <w:color w:val="000000"/>
          <w:szCs w:val="24"/>
          <w:lang w:val="en-US" w:eastAsia="en-US"/>
        </w:rPr>
        <w:t>-</w:t>
      </w:r>
      <w:r w:rsidRPr="00BC4B5A">
        <w:rPr>
          <w:rFonts w:eastAsia="Times New Roman"/>
          <w:snapToGrid w:val="0"/>
          <w:color w:val="000000"/>
          <w:szCs w:val="24"/>
          <w:lang w:val="en-US" w:eastAsia="en-US"/>
        </w:rPr>
        <w:t>10</w:t>
      </w:r>
      <w:r w:rsidRPr="00BC4B5A">
        <w:rPr>
          <w:rFonts w:eastAsia="Times New Roman"/>
          <w:snapToGrid w:val="0"/>
          <w:color w:val="000000"/>
          <w:szCs w:val="24"/>
          <w:vertAlign w:val="superscript"/>
          <w:lang w:val="en-US" w:eastAsia="en-US"/>
        </w:rPr>
        <w:t>12</w:t>
      </w:r>
      <w:r w:rsidRPr="00BC4B5A">
        <w:rPr>
          <w:rFonts w:eastAsia="Times New Roman"/>
          <w:snapToGrid w:val="0"/>
          <w:color w:val="000000"/>
          <w:szCs w:val="24"/>
          <w:lang w:val="en-US" w:eastAsia="en-US"/>
        </w:rPr>
        <w:t xml:space="preserve"> Hz. In addition to this, it may also be seen that in the frequency range that is of interest in most engineering applications, shown as shaded area, values of loss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are relatively low, i.e., in the range between 0.1 to 25MPa, which is not bad in comparison to metals, however far away from real potentials of TPU materials.  </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Comparing the three TPUs shows that material 1175A has the lowest loss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through the whole frequency range. As in the case of storage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1175A at about 10</w:t>
      </w:r>
      <w:r w:rsidRPr="00BC4B5A">
        <w:rPr>
          <w:rFonts w:eastAsia="Times New Roman"/>
          <w:snapToGrid w:val="0"/>
          <w:color w:val="000000"/>
          <w:szCs w:val="24"/>
          <w:vertAlign w:val="superscript"/>
          <w:lang w:val="en-US" w:eastAsia="en-US"/>
        </w:rPr>
        <w:t>3</w:t>
      </w:r>
      <w:r w:rsidRPr="00BC4B5A">
        <w:rPr>
          <w:rFonts w:eastAsia="Times New Roman"/>
          <w:snapToGrid w:val="0"/>
          <w:color w:val="000000"/>
          <w:szCs w:val="24"/>
          <w:lang w:val="en-US" w:eastAsia="en-US"/>
        </w:rPr>
        <w:t xml:space="preserve"> Hz abruptly enters the transition state where its energy absorption properties are strongly excitation frequency dependent, before that its dissipation properties are more or less constant, see Figure 6(b). This transition is for 1190A and 1195D much more gradual.</w:t>
      </w:r>
    </w:p>
    <w:p w:rsidR="00BC4B5A" w:rsidRPr="00BC4B5A" w:rsidRDefault="00BC4B5A" w:rsidP="00BC4B5A">
      <w:pPr>
        <w:widowControl w:val="0"/>
        <w:tabs>
          <w:tab w:val="left" w:pos="-720"/>
          <w:tab w:val="left" w:pos="284"/>
        </w:tabs>
        <w:spacing w:after="0" w:line="240" w:lineRule="auto"/>
        <w:jc w:val="both"/>
        <w:rPr>
          <w:rFonts w:eastAsia="Times New Roman"/>
          <w:snapToGrid w:val="0"/>
          <w:szCs w:val="24"/>
          <w:lang w:val="en-US" w:eastAsia="en-US"/>
        </w:rPr>
      </w:pPr>
    </w:p>
    <w:p w:rsidR="00BC4B5A" w:rsidRPr="00BC4B5A" w:rsidRDefault="00BC4B5A" w:rsidP="00BC4B5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BC4B5A">
        <w:rPr>
          <w:rFonts w:eastAsia="Times New Roman"/>
          <w:b/>
          <w:i/>
          <w:snapToGrid w:val="0"/>
          <w:szCs w:val="24"/>
          <w:lang w:val="en-US" w:eastAsia="ja-JP"/>
        </w:rPr>
        <w:t xml:space="preserve">2.1 </w:t>
      </w:r>
      <w:r w:rsidRPr="00BC4B5A">
        <w:rPr>
          <w:rFonts w:eastAsia="Times New Roman"/>
          <w:b/>
          <w:i/>
          <w:snapToGrid w:val="0"/>
          <w:szCs w:val="24"/>
          <w:lang w:val="en-US" w:eastAsia="en-US"/>
        </w:rPr>
        <w:t xml:space="preserve">Analysis of GDE potentials </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 xml:space="preserve">Combining the information on dynamic viscoelastic material functions presented in Figures 6 with materials hydrostatic pressure sensitivity, we may construct 3D diagrams showing interrelation between the storage,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and the loss,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moduli, excitation frequency, and hydrostatic pressure to which material is exposed. The results are shown in Figure 7 for the storage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and in Figure 8 for the loss modulus </w:t>
      </w:r>
      <m:oMath>
        <m:r>
          <w:rPr>
            <w:rFonts w:ascii="Cambria Math" w:eastAsia="Times New Roman" w:hAnsi="Cambria Math"/>
            <w:snapToGrid w:val="0"/>
            <w:color w:val="000000"/>
            <w:szCs w:val="24"/>
            <w:lang w:val="en-US" w:eastAsia="en-US"/>
          </w:rPr>
          <m:t>G''(ω)</m:t>
        </m:r>
      </m:oMath>
      <w:r w:rsidRPr="00BC4B5A">
        <w:rPr>
          <w:rFonts w:eastAsia="Times New Roman"/>
          <w:snapToGrid w:val="0"/>
          <w:color w:val="000000"/>
          <w:szCs w:val="24"/>
          <w:lang w:val="en-US" w:eastAsia="en-US"/>
        </w:rPr>
        <w:t xml:space="preserve">. </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The 3D diagrams provide a general inside how the two material functions depend on hydrostatic pressure and excitation frequency. The differences between the three materials are obvious, particularly when comparing their loss moduli.</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center"/>
        <w:rPr>
          <w:rFonts w:eastAsia="Times New Roman"/>
          <w:snapToGrid w:val="0"/>
          <w:color w:val="000000"/>
          <w:sz w:val="24"/>
          <w:szCs w:val="24"/>
          <w:lang w:eastAsia="ja-JP"/>
        </w:rPr>
      </w:pPr>
      <w:r w:rsidRPr="00BC4B5A">
        <w:rPr>
          <w:rFonts w:eastAsia="Times New Roman"/>
          <w:noProof/>
          <w:snapToGrid w:val="0"/>
          <w:color w:val="000000"/>
          <w:sz w:val="24"/>
          <w:szCs w:val="24"/>
        </w:rPr>
        <w:lastRenderedPageBreak/>
        <w:drawing>
          <wp:inline distT="0" distB="0" distL="0" distR="0" wp14:anchorId="0FE9115D" wp14:editId="7B4BE6E3">
            <wp:extent cx="2673350" cy="1481193"/>
            <wp:effectExtent l="0" t="0" r="0" b="508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775" cy="1496388"/>
                    </a:xfrm>
                    <a:prstGeom prst="rect">
                      <a:avLst/>
                    </a:prstGeom>
                    <a:noFill/>
                    <a:ln>
                      <a:noFill/>
                    </a:ln>
                  </pic:spPr>
                </pic:pic>
              </a:graphicData>
            </a:graphic>
          </wp:inline>
        </w:drawing>
      </w:r>
    </w:p>
    <w:p w:rsidR="00BC4B5A" w:rsidRPr="00BC4B5A" w:rsidRDefault="00BC4B5A" w:rsidP="00BC4B5A">
      <w:pPr>
        <w:widowControl w:val="0"/>
        <w:autoSpaceDE w:val="0"/>
        <w:autoSpaceDN w:val="0"/>
        <w:adjustRightInd w:val="0"/>
        <w:spacing w:after="0" w:line="240" w:lineRule="auto"/>
        <w:jc w:val="center"/>
        <w:rPr>
          <w:rFonts w:eastAsia="Times New Roman"/>
          <w:snapToGrid w:val="0"/>
          <w:color w:val="000000"/>
          <w:sz w:val="24"/>
          <w:szCs w:val="24"/>
          <w:lang w:eastAsia="ja-JP"/>
        </w:rPr>
      </w:pP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z w:val="20"/>
          <w:szCs w:val="24"/>
          <w:lang w:val="en-US" w:eastAsia="en-US"/>
        </w:rPr>
        <w:t xml:space="preserve">Figure 7. Frequency dependent shear storage modulus </w:t>
      </w:r>
      <m:oMath>
        <m:r>
          <m:rPr>
            <m:sty m:val="p"/>
          </m:rPr>
          <w:rPr>
            <w:rFonts w:ascii="Cambria Math" w:eastAsia="Times New Roman" w:hAnsi="Cambria Math"/>
            <w:snapToGrid w:val="0"/>
            <w:sz w:val="20"/>
            <w:szCs w:val="24"/>
            <w:lang w:val="en-US" w:eastAsia="en-US"/>
          </w:rPr>
          <m:t>G'(ω)</m:t>
        </m:r>
      </m:oMath>
      <w:r w:rsidRPr="00BC4B5A">
        <w:rPr>
          <w:rFonts w:eastAsia="Times New Roman"/>
          <w:snapToGrid w:val="0"/>
          <w:sz w:val="20"/>
          <w:szCs w:val="24"/>
          <w:lang w:val="en-US" w:eastAsia="en-US"/>
        </w:rPr>
        <w:t xml:space="preserve"> in dependence of hydrostatic pressure for (a) 1190A, (b) 1175A and (c) 1195D at Tref = 20°C.</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center"/>
        <w:rPr>
          <w:rFonts w:eastAsia="Times New Roman"/>
          <w:snapToGrid w:val="0"/>
          <w:color w:val="000000"/>
          <w:sz w:val="24"/>
          <w:szCs w:val="24"/>
          <w:lang w:val="en-GB" w:eastAsia="ja-JP"/>
        </w:rPr>
      </w:pPr>
      <w:r w:rsidRPr="00BC4B5A">
        <w:rPr>
          <w:rFonts w:eastAsia="Times New Roman"/>
          <w:noProof/>
          <w:snapToGrid w:val="0"/>
          <w:color w:val="000000"/>
          <w:sz w:val="24"/>
          <w:szCs w:val="24"/>
        </w:rPr>
        <w:drawing>
          <wp:inline distT="0" distB="0" distL="0" distR="0" wp14:anchorId="28A9E4C7" wp14:editId="18BA7D70">
            <wp:extent cx="2924457" cy="1608587"/>
            <wp:effectExtent l="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453" cy="1621236"/>
                    </a:xfrm>
                    <a:prstGeom prst="rect">
                      <a:avLst/>
                    </a:prstGeom>
                    <a:noFill/>
                    <a:ln>
                      <a:noFill/>
                    </a:ln>
                  </pic:spPr>
                </pic:pic>
              </a:graphicData>
            </a:graphic>
          </wp:inline>
        </w:drawing>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spacing w:after="0" w:line="240" w:lineRule="auto"/>
        <w:jc w:val="center"/>
        <w:rPr>
          <w:rFonts w:eastAsia="Times New Roman"/>
          <w:snapToGrid w:val="0"/>
          <w:sz w:val="20"/>
          <w:szCs w:val="24"/>
          <w:lang w:val="en-US" w:eastAsia="en-US"/>
        </w:rPr>
      </w:pPr>
      <w:r w:rsidRPr="00BC4B5A">
        <w:rPr>
          <w:rFonts w:eastAsia="Times New Roman"/>
          <w:snapToGrid w:val="0"/>
          <w:sz w:val="20"/>
          <w:szCs w:val="24"/>
          <w:lang w:val="en-US" w:eastAsia="en-US"/>
        </w:rPr>
        <w:t xml:space="preserve">Figure 8. Frequency dependent shear loss modulus </w:t>
      </w:r>
      <m:oMath>
        <m:r>
          <w:rPr>
            <w:rFonts w:ascii="Cambria Math" w:eastAsia="Times New Roman" w:hAnsi="Cambria Math"/>
            <w:snapToGrid w:val="0"/>
            <w:sz w:val="20"/>
            <w:szCs w:val="24"/>
            <w:lang w:val="en-US" w:eastAsia="en-US"/>
          </w:rPr>
          <m:t>G''(ω)</m:t>
        </m:r>
      </m:oMath>
      <w:r w:rsidRPr="00BC4B5A">
        <w:rPr>
          <w:rFonts w:eastAsia="Times New Roman"/>
          <w:snapToGrid w:val="0"/>
          <w:sz w:val="20"/>
          <w:szCs w:val="24"/>
          <w:lang w:val="en-US" w:eastAsia="en-US"/>
        </w:rPr>
        <w:t xml:space="preserve"> in dependence of hydrostatic pressure for (a) 1190A, (b) 1175A and (c) 1195D at </w:t>
      </w:r>
      <w:r w:rsidRPr="00BC4B5A">
        <w:rPr>
          <w:rFonts w:eastAsia="Times New Roman"/>
          <w:i/>
          <w:snapToGrid w:val="0"/>
          <w:sz w:val="20"/>
          <w:szCs w:val="24"/>
          <w:lang w:val="en-US" w:eastAsia="en-US"/>
        </w:rPr>
        <w:t>T</w:t>
      </w:r>
      <w:r w:rsidRPr="00BC4B5A">
        <w:rPr>
          <w:rFonts w:eastAsia="Times New Roman"/>
          <w:snapToGrid w:val="0"/>
          <w:sz w:val="20"/>
          <w:szCs w:val="24"/>
          <w:vertAlign w:val="subscript"/>
          <w:lang w:val="en-US" w:eastAsia="en-US"/>
        </w:rPr>
        <w:t>ref</w:t>
      </w:r>
      <w:r w:rsidRPr="00BC4B5A">
        <w:rPr>
          <w:rFonts w:eastAsia="Times New Roman"/>
          <w:snapToGrid w:val="0"/>
          <w:sz w:val="20"/>
          <w:szCs w:val="24"/>
          <w:lang w:val="en-US" w:eastAsia="en-US"/>
        </w:rPr>
        <w:t xml:space="preserve"> = 20C.</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Comparing the three diagrams in Figures 7, we clearly see the huge difference between the three materials in the effect of pressure on improvement of</w:t>
      </w:r>
      <w:r w:rsidRPr="00BC4B5A">
        <w:rPr>
          <w:rFonts w:eastAsia="Times New Roman"/>
          <w:i/>
          <w:snapToGrid w:val="0"/>
          <w:color w:val="000000"/>
          <w:szCs w:val="24"/>
          <w:lang w:val="en-US" w:eastAsia="en-US"/>
        </w:rPr>
        <w:t xml:space="preserve"> isolation stiffness</w:t>
      </w:r>
      <w:r w:rsidRPr="00BC4B5A">
        <w:rPr>
          <w:rFonts w:eastAsia="Times New Roman"/>
          <w:snapToGrid w:val="0"/>
          <w:color w:val="000000"/>
          <w:szCs w:val="24"/>
          <w:lang w:val="en-US" w:eastAsia="en-US"/>
        </w:rPr>
        <w:t xml:space="preserve">. Within the frequency range of interest TPU 1190A and TPU1195D are very sensitive, both, to pressure and to excitation frequency to which material (insulation) is exposed. In case of </w:t>
      </w:r>
      <w:r w:rsidRPr="00BC4B5A">
        <w:rPr>
          <w:rFonts w:eastAsia="Times New Roman"/>
          <w:i/>
          <w:snapToGrid w:val="0"/>
          <w:color w:val="000000"/>
          <w:szCs w:val="24"/>
          <w:lang w:val="en-US" w:eastAsia="en-US"/>
        </w:rPr>
        <w:t>isolation energy absorption properties</w:t>
      </w:r>
      <w:r w:rsidRPr="00BC4B5A">
        <w:rPr>
          <w:rFonts w:eastAsia="Times New Roman"/>
          <w:snapToGrid w:val="0"/>
          <w:color w:val="000000"/>
          <w:szCs w:val="24"/>
          <w:lang w:val="en-US" w:eastAsia="en-US"/>
        </w:rPr>
        <w:t xml:space="preserve">, displayed in Figure 8, we again observe strong difference between the three materials, however, the effect of pressure is in this case even stronger and different than in the case of isolation stiffness. </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r w:rsidRPr="00BC4B5A">
        <w:rPr>
          <w:rFonts w:eastAsia="Times New Roman"/>
          <w:snapToGrid w:val="0"/>
          <w:color w:val="000000"/>
          <w:szCs w:val="24"/>
          <w:lang w:val="en-US" w:eastAsia="en-US"/>
        </w:rPr>
        <w:t>High energy absorption and an increase of isolation stiffness caused by excitation frequency makes TPU 1190A a very attractive material for the new generation DGE damping elements. The two characteristics work hand-in-hand, high energy absorption diminishes vibrations per se, in addition an increase of isolation stiffness will move away mechanical system resonance frequency causing additional reduction of vibrations.</w:t>
      </w:r>
    </w:p>
    <w:p w:rsidR="00BC4B5A" w:rsidRPr="00BC4B5A" w:rsidRDefault="00BC4B5A" w:rsidP="00BC4B5A">
      <w:pPr>
        <w:widowControl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tabs>
          <w:tab w:val="left" w:pos="-720"/>
          <w:tab w:val="left" w:pos="284"/>
        </w:tabs>
        <w:spacing w:after="0" w:line="240" w:lineRule="auto"/>
        <w:jc w:val="both"/>
        <w:rPr>
          <w:rFonts w:eastAsia="Times New Roman"/>
          <w:snapToGrid w:val="0"/>
          <w:szCs w:val="24"/>
          <w:lang w:val="en-US" w:eastAsia="en-US"/>
        </w:rPr>
      </w:pPr>
    </w:p>
    <w:p w:rsidR="00BC4B5A" w:rsidRPr="00BC4B5A" w:rsidRDefault="00BC4B5A" w:rsidP="00BC4B5A">
      <w:pPr>
        <w:keepNext/>
        <w:spacing w:after="0" w:line="240" w:lineRule="auto"/>
        <w:jc w:val="both"/>
        <w:outlineLvl w:val="0"/>
        <w:rPr>
          <w:rFonts w:eastAsia="Calibri"/>
          <w:b/>
          <w:caps/>
          <w:snapToGrid w:val="0"/>
          <w:szCs w:val="24"/>
          <w:lang w:val="en-US" w:eastAsia="en-US" w:bidi="en-US"/>
        </w:rPr>
      </w:pPr>
      <w:r w:rsidRPr="00BC4B5A">
        <w:rPr>
          <w:rFonts w:eastAsia="Calibri"/>
          <w:b/>
          <w:caps/>
          <w:snapToGrid w:val="0"/>
          <w:szCs w:val="24"/>
          <w:lang w:val="en-US" w:eastAsia="en-US" w:bidi="en-US"/>
        </w:rPr>
        <w:t>3. SUMMARY AND CONCLUSIONS</w:t>
      </w:r>
    </w:p>
    <w:p w:rsidR="00BC4B5A" w:rsidRPr="00BC4B5A" w:rsidRDefault="00BC4B5A" w:rsidP="00BC4B5A">
      <w:pPr>
        <w:widowControl w:val="0"/>
        <w:spacing w:after="0" w:line="240" w:lineRule="auto"/>
        <w:jc w:val="both"/>
        <w:rPr>
          <w:rFonts w:eastAsia="Times New Roman"/>
          <w:snapToGrid w:val="0"/>
          <w:szCs w:val="24"/>
          <w:lang w:val="en-US" w:eastAsia="en-US" w:bidi="en-US"/>
        </w:rPr>
      </w:pPr>
    </w:p>
    <w:p w:rsidR="00BC4B5A" w:rsidRPr="00BC4B5A" w:rsidRDefault="00BC4B5A" w:rsidP="00BC4B5A">
      <w:pPr>
        <w:widowControl w:val="0"/>
        <w:spacing w:after="0" w:line="240" w:lineRule="auto"/>
        <w:jc w:val="both"/>
        <w:rPr>
          <w:rFonts w:eastAsia="Times New Roman"/>
          <w:snapToGrid w:val="0"/>
          <w:lang w:val="en-US" w:eastAsia="en-US"/>
        </w:rPr>
      </w:pPr>
      <w:r w:rsidRPr="00BC4B5A">
        <w:rPr>
          <w:rFonts w:eastAsia="Times New Roman"/>
          <w:snapToGrid w:val="0"/>
          <w:lang w:val="en-US" w:eastAsia="en-US"/>
        </w:rPr>
        <w:t>The</w:t>
      </w:r>
      <w:r w:rsidRPr="00BC4B5A">
        <w:rPr>
          <w:rFonts w:eastAsia="Times New Roman"/>
          <w:snapToGrid w:val="0"/>
          <w:spacing w:val="-11"/>
          <w:lang w:val="en-US" w:eastAsia="en-US"/>
        </w:rPr>
        <w:t xml:space="preserve"> </w:t>
      </w:r>
      <w:r w:rsidRPr="00BC4B5A">
        <w:rPr>
          <w:rFonts w:eastAsia="Times New Roman"/>
          <w:snapToGrid w:val="0"/>
          <w:spacing w:val="1"/>
          <w:lang w:val="en-US" w:eastAsia="en-US"/>
        </w:rPr>
        <w:t>paper</w:t>
      </w:r>
      <w:r w:rsidRPr="00BC4B5A">
        <w:rPr>
          <w:rFonts w:eastAsia="Times New Roman"/>
          <w:snapToGrid w:val="0"/>
          <w:spacing w:val="-10"/>
          <w:lang w:val="en-US" w:eastAsia="en-US"/>
        </w:rPr>
        <w:t xml:space="preserve"> presents analysis of pressure dependence of three </w:t>
      </w:r>
      <w:r w:rsidRPr="00BC4B5A">
        <w:rPr>
          <w:rFonts w:eastAsia="Times New Roman"/>
          <w:snapToGrid w:val="0"/>
          <w:color w:val="000000"/>
          <w:lang w:val="en-US" w:eastAsia="en-US"/>
        </w:rPr>
        <w:t xml:space="preserve">Elastollan® materials, i.e., 1190A, 1175A, and 1195D </w:t>
      </w:r>
      <w:r w:rsidRPr="00BC4B5A">
        <w:rPr>
          <w:rFonts w:eastAsia="Times New Roman"/>
          <w:snapToGrid w:val="0"/>
          <w:spacing w:val="-10"/>
          <w:lang w:val="en-US" w:eastAsia="en-US"/>
        </w:rPr>
        <w:t>in frequency domain, that are</w:t>
      </w:r>
      <w:r w:rsidRPr="00BC4B5A">
        <w:rPr>
          <w:rFonts w:eastAsia="Times New Roman"/>
          <w:snapToGrid w:val="0"/>
          <w:color w:val="000000"/>
          <w:lang w:val="en-US" w:eastAsia="en-US"/>
        </w:rPr>
        <w:t xml:space="preserve"> used in manufacturing of vibration insulation. The aim of the investigation was to analyze how much one can enhance performance of an insulation by using these materials in breakthrough </w:t>
      </w:r>
      <w:r w:rsidRPr="00BC4B5A">
        <w:rPr>
          <w:rFonts w:eastAsia="Times New Roman"/>
          <w:i/>
          <w:snapToGrid w:val="0"/>
          <w:color w:val="000000"/>
          <w:lang w:val="en-US" w:eastAsia="en-US"/>
        </w:rPr>
        <w:t>Granular damping elements</w:t>
      </w:r>
      <w:r w:rsidRPr="00BC4B5A">
        <w:rPr>
          <w:rFonts w:eastAsia="Times New Roman"/>
          <w:snapToGrid w:val="0"/>
          <w:color w:val="000000"/>
          <w:lang w:val="en-US" w:eastAsia="en-US"/>
        </w:rPr>
        <w:t xml:space="preserve"> (GDE), that are based on a patented </w:t>
      </w:r>
      <w:r w:rsidRPr="00BC4B5A">
        <w:rPr>
          <w:rFonts w:eastAsia="Times New Roman"/>
          <w:i/>
          <w:snapToGrid w:val="0"/>
          <w:color w:val="000000"/>
          <w:lang w:val="en-US" w:eastAsia="en-US"/>
        </w:rPr>
        <w:t>Dissipative bulk and granular systems technology</w:t>
      </w:r>
      <w:r w:rsidRPr="00BC4B5A">
        <w:rPr>
          <w:rFonts w:eastAsia="Times New Roman"/>
          <w:snapToGrid w:val="0"/>
          <w:color w:val="000000"/>
          <w:lang w:val="en-US" w:eastAsia="en-US"/>
        </w:rPr>
        <w:t xml:space="preserve">. DGE insulation </w:t>
      </w:r>
      <w:r w:rsidRPr="00BC4B5A">
        <w:rPr>
          <w:rFonts w:eastAsia="Times New Roman"/>
          <w:snapToGrid w:val="0"/>
          <w:lang w:val="en-US" w:eastAsia="en-US"/>
        </w:rPr>
        <w:t>uses</w:t>
      </w:r>
      <w:r w:rsidRPr="00BC4B5A">
        <w:rPr>
          <w:rFonts w:eastAsia="Times New Roman"/>
          <w:snapToGrid w:val="0"/>
          <w:spacing w:val="29"/>
          <w:w w:val="91"/>
          <w:lang w:val="en-US" w:eastAsia="en-US"/>
        </w:rPr>
        <w:t xml:space="preserve"> </w:t>
      </w:r>
      <w:r w:rsidRPr="00BC4B5A">
        <w:rPr>
          <w:rFonts w:eastAsia="Times New Roman"/>
          <w:snapToGrid w:val="0"/>
          <w:lang w:val="en-US" w:eastAsia="en-US"/>
        </w:rPr>
        <w:t>polymeric</w:t>
      </w:r>
      <w:r w:rsidRPr="00BC4B5A">
        <w:rPr>
          <w:rFonts w:eastAsia="Times New Roman"/>
          <w:snapToGrid w:val="0"/>
          <w:spacing w:val="-6"/>
          <w:lang w:val="en-US" w:eastAsia="en-US"/>
        </w:rPr>
        <w:t xml:space="preserve"> </w:t>
      </w:r>
      <w:r w:rsidRPr="00BC4B5A">
        <w:rPr>
          <w:rFonts w:eastAsia="Times New Roman"/>
          <w:snapToGrid w:val="0"/>
          <w:lang w:val="en-US" w:eastAsia="en-US"/>
        </w:rPr>
        <w:t>materials</w:t>
      </w:r>
      <w:r w:rsidRPr="00BC4B5A">
        <w:rPr>
          <w:rFonts w:eastAsia="Times New Roman"/>
          <w:snapToGrid w:val="0"/>
          <w:spacing w:val="-5"/>
          <w:lang w:val="en-US" w:eastAsia="en-US"/>
        </w:rPr>
        <w:t xml:space="preserve"> </w:t>
      </w:r>
      <w:r w:rsidRPr="00BC4B5A">
        <w:rPr>
          <w:rFonts w:eastAsia="Times New Roman"/>
          <w:snapToGrid w:val="0"/>
          <w:lang w:val="en-US" w:eastAsia="en-US"/>
        </w:rPr>
        <w:t>in</w:t>
      </w:r>
      <w:r w:rsidRPr="00BC4B5A">
        <w:rPr>
          <w:rFonts w:eastAsia="Times New Roman"/>
          <w:snapToGrid w:val="0"/>
          <w:spacing w:val="-5"/>
          <w:lang w:val="en-US" w:eastAsia="en-US"/>
        </w:rPr>
        <w:t xml:space="preserve"> </w:t>
      </w:r>
      <w:r w:rsidRPr="00BC4B5A">
        <w:rPr>
          <w:rFonts w:eastAsia="Times New Roman"/>
          <w:snapToGrid w:val="0"/>
          <w:spacing w:val="-2"/>
          <w:lang w:val="en-US" w:eastAsia="en-US"/>
        </w:rPr>
        <w:t>granular</w:t>
      </w:r>
      <w:r w:rsidRPr="00BC4B5A">
        <w:rPr>
          <w:rFonts w:eastAsia="Times New Roman"/>
          <w:snapToGrid w:val="0"/>
          <w:spacing w:val="-5"/>
          <w:lang w:val="en-US" w:eastAsia="en-US"/>
        </w:rPr>
        <w:t xml:space="preserve"> </w:t>
      </w:r>
      <w:r w:rsidRPr="00BC4B5A">
        <w:rPr>
          <w:rFonts w:eastAsia="Times New Roman"/>
          <w:snapToGrid w:val="0"/>
          <w:lang w:val="en-US" w:eastAsia="en-US"/>
        </w:rPr>
        <w:t>form</w:t>
      </w:r>
      <w:r w:rsidRPr="00BC4B5A">
        <w:rPr>
          <w:rFonts w:eastAsia="Times New Roman"/>
          <w:snapToGrid w:val="0"/>
          <w:spacing w:val="-4"/>
          <w:lang w:val="en-US" w:eastAsia="en-US"/>
        </w:rPr>
        <w:t xml:space="preserve"> </w:t>
      </w:r>
      <w:r w:rsidRPr="00BC4B5A">
        <w:rPr>
          <w:rFonts w:eastAsia="Times New Roman"/>
          <w:snapToGrid w:val="0"/>
          <w:lang w:val="en-US" w:eastAsia="en-US"/>
        </w:rPr>
        <w:t>to</w:t>
      </w:r>
      <w:r w:rsidRPr="00BC4B5A">
        <w:rPr>
          <w:rFonts w:eastAsia="Times New Roman"/>
          <w:snapToGrid w:val="0"/>
          <w:spacing w:val="-5"/>
          <w:lang w:val="en-US" w:eastAsia="en-US"/>
        </w:rPr>
        <w:t xml:space="preserve"> </w:t>
      </w:r>
      <w:r w:rsidRPr="00BC4B5A">
        <w:rPr>
          <w:rFonts w:eastAsia="Times New Roman"/>
          <w:snapToGrid w:val="0"/>
          <w:spacing w:val="-2"/>
          <w:lang w:val="en-US" w:eastAsia="en-US"/>
        </w:rPr>
        <w:t>enhance</w:t>
      </w:r>
      <w:r w:rsidRPr="00BC4B5A">
        <w:rPr>
          <w:rFonts w:eastAsia="Times New Roman"/>
          <w:snapToGrid w:val="0"/>
          <w:spacing w:val="-5"/>
          <w:lang w:val="en-US" w:eastAsia="en-US"/>
        </w:rPr>
        <w:t xml:space="preserve"> </w:t>
      </w:r>
      <w:r w:rsidRPr="00BC4B5A">
        <w:rPr>
          <w:rFonts w:eastAsia="Times New Roman"/>
          <w:snapToGrid w:val="0"/>
          <w:lang w:val="en-US" w:eastAsia="en-US"/>
        </w:rPr>
        <w:t>their</w:t>
      </w:r>
      <w:r w:rsidRPr="00BC4B5A">
        <w:rPr>
          <w:rFonts w:eastAsia="Times New Roman"/>
          <w:snapToGrid w:val="0"/>
          <w:spacing w:val="-5"/>
          <w:lang w:val="en-US" w:eastAsia="en-US"/>
        </w:rPr>
        <w:t xml:space="preserve"> </w:t>
      </w:r>
      <w:r w:rsidRPr="00BC4B5A">
        <w:rPr>
          <w:rFonts w:eastAsia="Times New Roman"/>
          <w:snapToGrid w:val="0"/>
          <w:lang w:val="en-US" w:eastAsia="en-US"/>
        </w:rPr>
        <w:t>dynamic</w:t>
      </w:r>
      <w:r w:rsidRPr="00BC4B5A">
        <w:rPr>
          <w:rFonts w:eastAsia="Times New Roman"/>
          <w:snapToGrid w:val="0"/>
          <w:spacing w:val="-5"/>
          <w:lang w:val="en-US" w:eastAsia="en-US"/>
        </w:rPr>
        <w:t xml:space="preserve"> </w:t>
      </w:r>
      <w:r w:rsidRPr="00BC4B5A">
        <w:rPr>
          <w:rFonts w:eastAsia="Times New Roman"/>
          <w:snapToGrid w:val="0"/>
          <w:lang w:val="en-US" w:eastAsia="en-US"/>
        </w:rPr>
        <w:t xml:space="preserve">properties by exposing them to hydrostatic pressure, which </w:t>
      </w:r>
      <w:r w:rsidRPr="00BC4B5A">
        <w:rPr>
          <w:rFonts w:eastAsia="Times New Roman"/>
          <w:snapToGrid w:val="0"/>
          <w:color w:val="000000"/>
          <w:lang w:val="en-US" w:eastAsia="en-US"/>
        </w:rPr>
        <w:t>shifts material energy absorptions maximum towards lower frequencies, to match the excitation frequency of dynamic loading to which a mechanical system is exposed.</w:t>
      </w:r>
    </w:p>
    <w:p w:rsidR="00BC4B5A" w:rsidRPr="00BC4B5A" w:rsidRDefault="00BC4B5A" w:rsidP="00BC4B5A">
      <w:pPr>
        <w:widowControl w:val="0"/>
        <w:spacing w:after="0" w:line="240" w:lineRule="auto"/>
        <w:jc w:val="both"/>
        <w:rPr>
          <w:rFonts w:eastAsia="Times New Roman"/>
          <w:snapToGrid w:val="0"/>
          <w:lang w:val="en-US" w:eastAsia="en-US"/>
        </w:rPr>
      </w:pPr>
      <w:r w:rsidRPr="00BC4B5A">
        <w:rPr>
          <w:rFonts w:eastAsia="Times New Roman"/>
          <w:snapToGrid w:val="0"/>
          <w:spacing w:val="-2"/>
          <w:lang w:val="en-US" w:eastAsia="en-US"/>
        </w:rPr>
        <w:t xml:space="preserve">From the obtained results, one may draw the following conclusions: </w:t>
      </w:r>
    </w:p>
    <w:p w:rsidR="00BC4B5A" w:rsidRPr="00BC4B5A" w:rsidRDefault="00BC4B5A" w:rsidP="00BC4B5A">
      <w:pPr>
        <w:widowControl w:val="0"/>
        <w:numPr>
          <w:ilvl w:val="0"/>
          <w:numId w:val="1"/>
        </w:numPr>
        <w:spacing w:after="0" w:line="240" w:lineRule="auto"/>
        <w:ind w:left="426" w:hanging="426"/>
        <w:jc w:val="both"/>
        <w:rPr>
          <w:rFonts w:eastAsia="Times New Roman"/>
          <w:snapToGrid w:val="0"/>
          <w:lang w:val="en-US" w:eastAsia="en-US"/>
        </w:rPr>
      </w:pPr>
      <w:r w:rsidRPr="00BC4B5A">
        <w:rPr>
          <w:rFonts w:eastAsia="Times New Roman"/>
          <w:snapToGrid w:val="0"/>
          <w:spacing w:val="-7"/>
          <w:lang w:val="en-US" w:eastAsia="en-US"/>
        </w:rPr>
        <w:t xml:space="preserve">The three </w:t>
      </w:r>
      <w:r w:rsidRPr="00BC4B5A">
        <w:rPr>
          <w:rFonts w:eastAsia="Times New Roman"/>
          <w:snapToGrid w:val="0"/>
          <w:color w:val="000000"/>
          <w:lang w:val="en-US" w:eastAsia="en-US"/>
        </w:rPr>
        <w:t xml:space="preserve">polyether-based thermoplastic polyurethane (TPU) materials from the Elastollan® 11 series, i.e., 1190A, 1175A, and 1195D, </w:t>
      </w:r>
      <w:r w:rsidRPr="00BC4B5A">
        <w:rPr>
          <w:rFonts w:eastAsia="Times New Roman"/>
          <w:snapToGrid w:val="0"/>
          <w:lang w:val="en-US" w:eastAsia="en-US"/>
        </w:rPr>
        <w:t>with similar chemical structure, exhibit</w:t>
      </w:r>
      <w:r w:rsidRPr="00BC4B5A">
        <w:rPr>
          <w:rFonts w:eastAsia="Times New Roman"/>
          <w:snapToGrid w:val="0"/>
          <w:spacing w:val="6"/>
          <w:w w:val="95"/>
          <w:lang w:val="en-US" w:eastAsia="en-US"/>
        </w:rPr>
        <w:t xml:space="preserve"> </w:t>
      </w:r>
      <w:r w:rsidRPr="00BC4B5A">
        <w:rPr>
          <w:rFonts w:eastAsia="Times New Roman"/>
          <w:snapToGrid w:val="0"/>
          <w:spacing w:val="-2"/>
          <w:lang w:val="en-US" w:eastAsia="en-US"/>
        </w:rPr>
        <w:t>significan</w:t>
      </w:r>
      <w:r w:rsidRPr="00BC4B5A">
        <w:rPr>
          <w:rFonts w:eastAsia="Times New Roman"/>
          <w:snapToGrid w:val="0"/>
          <w:spacing w:val="-1"/>
          <w:lang w:val="en-US" w:eastAsia="en-US"/>
        </w:rPr>
        <w:t>tly</w:t>
      </w:r>
      <w:r w:rsidRPr="00BC4B5A">
        <w:rPr>
          <w:rFonts w:eastAsia="Times New Roman"/>
          <w:snapToGrid w:val="0"/>
          <w:spacing w:val="5"/>
          <w:lang w:val="en-US" w:eastAsia="en-US"/>
        </w:rPr>
        <w:t xml:space="preserve"> </w:t>
      </w:r>
      <w:r w:rsidRPr="00BC4B5A">
        <w:rPr>
          <w:rFonts w:eastAsia="Times New Roman"/>
          <w:snapToGrid w:val="0"/>
          <w:lang w:val="en-US" w:eastAsia="en-US"/>
        </w:rPr>
        <w:t xml:space="preserve">different frequency-dependent properties. </w:t>
      </w:r>
      <w:r w:rsidRPr="00BC4B5A">
        <w:rPr>
          <w:rFonts w:eastAsia="Times New Roman"/>
          <w:snapToGrid w:val="0"/>
          <w:color w:val="000000"/>
          <w:lang w:val="en-US" w:eastAsia="en-US"/>
        </w:rPr>
        <w:t xml:space="preserve"> </w:t>
      </w:r>
    </w:p>
    <w:p w:rsidR="00BC4B5A" w:rsidRPr="00BC4B5A" w:rsidRDefault="00BC4B5A" w:rsidP="00BC4B5A">
      <w:pPr>
        <w:widowControl w:val="0"/>
        <w:numPr>
          <w:ilvl w:val="0"/>
          <w:numId w:val="1"/>
        </w:numPr>
        <w:spacing w:after="0" w:line="240" w:lineRule="auto"/>
        <w:ind w:left="426" w:hanging="426"/>
        <w:jc w:val="both"/>
        <w:rPr>
          <w:rFonts w:eastAsia="Times New Roman"/>
          <w:snapToGrid w:val="0"/>
          <w:lang w:val="en-US" w:eastAsia="en-US"/>
        </w:rPr>
      </w:pPr>
      <w:r w:rsidRPr="00BC4B5A">
        <w:rPr>
          <w:rFonts w:eastAsia="Times New Roman"/>
          <w:snapToGrid w:val="0"/>
          <w:color w:val="000000"/>
          <w:lang w:val="en-US" w:eastAsia="en-US"/>
        </w:rPr>
        <w:t>All three materials are quite sensitive to pressure, and 1190A proofs to be the most sensitive of the three materials. At 300MPa, properties of 1190A are shifted along the logarithmic frequency scale for around 5.5 decades, for 1195D and 1175A this shift is only about 3.5, and 1.5 decades, respectively. These shifts may be achieved by exposing materials to selected hydrostatic pressure.</w:t>
      </w:r>
    </w:p>
    <w:p w:rsidR="00BC4B5A" w:rsidRPr="00BC4B5A" w:rsidRDefault="00BC4B5A" w:rsidP="00BC4B5A">
      <w:pPr>
        <w:widowControl w:val="0"/>
        <w:numPr>
          <w:ilvl w:val="0"/>
          <w:numId w:val="1"/>
        </w:numPr>
        <w:spacing w:after="0" w:line="240" w:lineRule="auto"/>
        <w:ind w:left="426" w:hanging="426"/>
        <w:jc w:val="both"/>
        <w:rPr>
          <w:rFonts w:eastAsia="Times New Roman"/>
          <w:snapToGrid w:val="0"/>
          <w:lang w:val="en-US" w:eastAsia="en-US"/>
        </w:rPr>
      </w:pPr>
      <w:r w:rsidRPr="00BC4B5A">
        <w:rPr>
          <w:rFonts w:eastAsia="Times New Roman"/>
          <w:snapToGrid w:val="0"/>
          <w:color w:val="000000"/>
          <w:lang w:val="en-US" w:eastAsia="en-US"/>
        </w:rPr>
        <w:t xml:space="preserve">The storage modulus </w:t>
      </w:r>
      <m:oMath>
        <m:r>
          <w:rPr>
            <w:rFonts w:ascii="Cambria Math" w:eastAsia="Times New Roman" w:hAnsi="Cambria Math"/>
            <w:snapToGrid w:val="0"/>
            <w:color w:val="000000"/>
            <w:lang w:val="en-US" w:eastAsia="en-US"/>
          </w:rPr>
          <m:t>G'(ω)</m:t>
        </m:r>
      </m:oMath>
      <w:r w:rsidRPr="00BC4B5A">
        <w:rPr>
          <w:rFonts w:eastAsia="Times New Roman"/>
          <w:snapToGrid w:val="0"/>
          <w:color w:val="000000"/>
          <w:lang w:val="en-US" w:eastAsia="en-US"/>
        </w:rPr>
        <w:t>, which defines the vibro-isolation stiffness within the frequency range of interest, may be increased with pressure for about 100 times for 1190A and 1195D, and for about 10 times for 1175A.</w:t>
      </w:r>
    </w:p>
    <w:p w:rsidR="00BC4B5A" w:rsidRPr="00BC4B5A" w:rsidRDefault="00BC4B5A" w:rsidP="00BC4B5A">
      <w:pPr>
        <w:widowControl w:val="0"/>
        <w:numPr>
          <w:ilvl w:val="0"/>
          <w:numId w:val="1"/>
        </w:numPr>
        <w:spacing w:after="0" w:line="240" w:lineRule="auto"/>
        <w:ind w:left="426" w:hanging="426"/>
        <w:jc w:val="both"/>
        <w:rPr>
          <w:rFonts w:eastAsia="Times New Roman"/>
          <w:snapToGrid w:val="0"/>
          <w:lang w:val="en-US" w:eastAsia="en-US"/>
        </w:rPr>
      </w:pPr>
      <w:r w:rsidRPr="00BC4B5A">
        <w:rPr>
          <w:rFonts w:eastAsia="Times New Roman"/>
          <w:snapToGrid w:val="0"/>
          <w:color w:val="000000"/>
          <w:lang w:val="en-US" w:eastAsia="en-US"/>
        </w:rPr>
        <w:t xml:space="preserve">The loss modulus </w:t>
      </w:r>
      <m:oMath>
        <m:r>
          <w:rPr>
            <w:rFonts w:ascii="Cambria Math" w:eastAsia="Times New Roman" w:hAnsi="Cambria Math"/>
            <w:snapToGrid w:val="0"/>
            <w:color w:val="000000"/>
            <w:lang w:val="en-US" w:eastAsia="en-US"/>
          </w:rPr>
          <m:t>G''(ω)</m:t>
        </m:r>
      </m:oMath>
      <w:r w:rsidRPr="00BC4B5A">
        <w:rPr>
          <w:rFonts w:eastAsia="Times New Roman"/>
          <w:snapToGrid w:val="0"/>
          <w:color w:val="000000"/>
          <w:lang w:val="en-US" w:eastAsia="en-US"/>
        </w:rPr>
        <w:t xml:space="preserve">, which defines the vibro-insulation energy absorption capability within the frequency range of interest, may be increased with pressure for again about 100 times for 1190A and 1195D, and for about 10 times for 1175A. </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 w:val="24"/>
          <w:szCs w:val="24"/>
          <w:lang w:val="en-GB" w:eastAsia="ja-JP"/>
        </w:rPr>
      </w:pPr>
      <w:r w:rsidRPr="00BC4B5A">
        <w:rPr>
          <w:rFonts w:eastAsia="Times New Roman"/>
          <w:snapToGrid w:val="0"/>
          <w:szCs w:val="24"/>
          <w:lang w:val="en-US" w:eastAsia="en-US"/>
        </w:rPr>
        <w:t>In conclusion, among</w:t>
      </w:r>
      <w:r w:rsidRPr="00BC4B5A">
        <w:rPr>
          <w:rFonts w:eastAsia="Times New Roman"/>
          <w:snapToGrid w:val="0"/>
          <w:spacing w:val="-35"/>
          <w:szCs w:val="24"/>
          <w:lang w:val="en-US" w:eastAsia="en-US"/>
        </w:rPr>
        <w:t xml:space="preserve"> </w:t>
      </w:r>
      <w:r w:rsidRPr="00BC4B5A">
        <w:rPr>
          <w:rFonts w:eastAsia="Times New Roman"/>
          <w:snapToGrid w:val="0"/>
          <w:szCs w:val="24"/>
          <w:lang w:val="en-US" w:eastAsia="en-US"/>
        </w:rPr>
        <w:t>the</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three</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measured</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materials</w:t>
      </w:r>
      <w:r w:rsidRPr="00BC4B5A">
        <w:rPr>
          <w:rFonts w:eastAsia="Times New Roman"/>
          <w:snapToGrid w:val="0"/>
          <w:spacing w:val="-35"/>
          <w:szCs w:val="24"/>
          <w:lang w:val="en-US" w:eastAsia="en-US"/>
        </w:rPr>
        <w:t xml:space="preserve"> </w:t>
      </w:r>
      <w:r w:rsidRPr="00BC4B5A">
        <w:rPr>
          <w:rFonts w:eastAsia="Times New Roman"/>
          <w:snapToGrid w:val="0"/>
          <w:szCs w:val="24"/>
          <w:lang w:val="en-US" w:eastAsia="en-US"/>
        </w:rPr>
        <w:t>it</w:t>
      </w:r>
      <w:r w:rsidRPr="00BC4B5A">
        <w:rPr>
          <w:rFonts w:eastAsia="Times New Roman"/>
          <w:snapToGrid w:val="0"/>
          <w:spacing w:val="-34"/>
          <w:szCs w:val="24"/>
          <w:lang w:val="en-US" w:eastAsia="en-US"/>
        </w:rPr>
        <w:t xml:space="preserve"> </w:t>
      </w:r>
      <w:r w:rsidRPr="00BC4B5A">
        <w:rPr>
          <w:rFonts w:eastAsia="Times New Roman"/>
          <w:snapToGrid w:val="0"/>
          <w:spacing w:val="-4"/>
          <w:szCs w:val="24"/>
          <w:lang w:val="en-US" w:eastAsia="en-US"/>
        </w:rPr>
        <w:t>was</w:t>
      </w:r>
      <w:r w:rsidRPr="00BC4B5A">
        <w:rPr>
          <w:rFonts w:eastAsia="Times New Roman"/>
          <w:snapToGrid w:val="0"/>
          <w:spacing w:val="-34"/>
          <w:szCs w:val="24"/>
          <w:lang w:val="en-US" w:eastAsia="en-US"/>
        </w:rPr>
        <w:t xml:space="preserve"> </w:t>
      </w:r>
      <w:r w:rsidRPr="00BC4B5A">
        <w:rPr>
          <w:rFonts w:eastAsia="Times New Roman"/>
          <w:snapToGrid w:val="0"/>
          <w:spacing w:val="-3"/>
          <w:szCs w:val="24"/>
          <w:lang w:val="en-US" w:eastAsia="en-US"/>
        </w:rPr>
        <w:t>shown</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that</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material</w:t>
      </w:r>
      <w:r w:rsidRPr="00BC4B5A">
        <w:rPr>
          <w:rFonts w:eastAsia="Times New Roman"/>
          <w:snapToGrid w:val="0"/>
          <w:spacing w:val="-34"/>
          <w:szCs w:val="24"/>
          <w:lang w:val="en-US" w:eastAsia="en-US"/>
        </w:rPr>
        <w:t xml:space="preserve"> </w:t>
      </w:r>
      <w:r w:rsidRPr="00BC4B5A">
        <w:rPr>
          <w:rFonts w:eastAsia="Times New Roman"/>
          <w:snapToGrid w:val="0"/>
          <w:color w:val="000000"/>
          <w:szCs w:val="24"/>
          <w:lang w:val="en-US" w:eastAsia="en-US"/>
        </w:rPr>
        <w:t>1190A</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seems</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to</w:t>
      </w:r>
      <w:r w:rsidRPr="00BC4B5A">
        <w:rPr>
          <w:rFonts w:eastAsia="Times New Roman"/>
          <w:snapToGrid w:val="0"/>
          <w:spacing w:val="-34"/>
          <w:szCs w:val="24"/>
          <w:lang w:val="en-US" w:eastAsia="en-US"/>
        </w:rPr>
        <w:t xml:space="preserve"> </w:t>
      </w:r>
      <w:r w:rsidRPr="00BC4B5A">
        <w:rPr>
          <w:rFonts w:eastAsia="Times New Roman"/>
          <w:snapToGrid w:val="0"/>
          <w:spacing w:val="3"/>
          <w:szCs w:val="24"/>
          <w:lang w:val="en-US" w:eastAsia="en-US"/>
        </w:rPr>
        <w:t>be</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the</w:t>
      </w:r>
      <w:r w:rsidRPr="00BC4B5A">
        <w:rPr>
          <w:rFonts w:eastAsia="Times New Roman"/>
          <w:snapToGrid w:val="0"/>
          <w:spacing w:val="-34"/>
          <w:szCs w:val="24"/>
          <w:lang w:val="en-US" w:eastAsia="en-US"/>
        </w:rPr>
        <w:t xml:space="preserve"> </w:t>
      </w:r>
      <w:r w:rsidRPr="00BC4B5A">
        <w:rPr>
          <w:rFonts w:eastAsia="Times New Roman"/>
          <w:snapToGrid w:val="0"/>
          <w:szCs w:val="24"/>
          <w:lang w:val="en-US" w:eastAsia="en-US"/>
        </w:rPr>
        <w:t>most</w:t>
      </w:r>
      <w:r w:rsidRPr="00BC4B5A">
        <w:rPr>
          <w:rFonts w:eastAsia="Times New Roman"/>
          <w:snapToGrid w:val="0"/>
          <w:spacing w:val="25"/>
          <w:w w:val="93"/>
          <w:szCs w:val="24"/>
          <w:lang w:val="en-US" w:eastAsia="en-US"/>
        </w:rPr>
        <w:t xml:space="preserve"> </w:t>
      </w:r>
      <w:r w:rsidRPr="00BC4B5A">
        <w:rPr>
          <w:rFonts w:eastAsia="Times New Roman"/>
          <w:snapToGrid w:val="0"/>
          <w:szCs w:val="24"/>
          <w:lang w:val="en-US" w:eastAsia="en-US"/>
        </w:rPr>
        <w:t>promising</w:t>
      </w:r>
      <w:r w:rsidRPr="00BC4B5A">
        <w:rPr>
          <w:rFonts w:eastAsia="Times New Roman"/>
          <w:snapToGrid w:val="0"/>
          <w:spacing w:val="-18"/>
          <w:szCs w:val="24"/>
          <w:lang w:val="en-US" w:eastAsia="en-US"/>
        </w:rPr>
        <w:t xml:space="preserve"> </w:t>
      </w:r>
      <w:r w:rsidRPr="00BC4B5A">
        <w:rPr>
          <w:rFonts w:eastAsia="Times New Roman"/>
          <w:snapToGrid w:val="0"/>
          <w:szCs w:val="24"/>
          <w:lang w:val="en-US" w:eastAsia="en-US"/>
        </w:rPr>
        <w:t>for</w:t>
      </w:r>
      <w:r w:rsidRPr="00BC4B5A">
        <w:rPr>
          <w:rFonts w:eastAsia="Times New Roman"/>
          <w:snapToGrid w:val="0"/>
          <w:spacing w:val="-16"/>
          <w:szCs w:val="24"/>
          <w:lang w:val="en-US" w:eastAsia="en-US"/>
        </w:rPr>
        <w:t xml:space="preserve"> </w:t>
      </w:r>
      <w:r w:rsidRPr="00BC4B5A">
        <w:rPr>
          <w:rFonts w:eastAsia="Times New Roman"/>
          <w:snapToGrid w:val="0"/>
          <w:szCs w:val="24"/>
          <w:lang w:val="en-US" w:eastAsia="en-US"/>
        </w:rPr>
        <w:t>the</w:t>
      </w:r>
      <w:r w:rsidRPr="00BC4B5A">
        <w:rPr>
          <w:rFonts w:eastAsia="Times New Roman"/>
          <w:snapToGrid w:val="0"/>
          <w:spacing w:val="-18"/>
          <w:szCs w:val="24"/>
          <w:lang w:val="en-US" w:eastAsia="en-US"/>
        </w:rPr>
        <w:t xml:space="preserve"> </w:t>
      </w:r>
      <w:r w:rsidRPr="00BC4B5A">
        <w:rPr>
          <w:rFonts w:eastAsia="Times New Roman"/>
          <w:snapToGrid w:val="0"/>
          <w:szCs w:val="24"/>
          <w:lang w:val="en-US" w:eastAsia="en-US"/>
        </w:rPr>
        <w:t>use</w:t>
      </w:r>
      <w:r w:rsidRPr="00BC4B5A">
        <w:rPr>
          <w:rFonts w:eastAsia="Times New Roman"/>
          <w:snapToGrid w:val="0"/>
          <w:spacing w:val="-17"/>
          <w:szCs w:val="24"/>
          <w:lang w:val="en-US" w:eastAsia="en-US"/>
        </w:rPr>
        <w:t xml:space="preserve"> </w:t>
      </w:r>
      <w:r w:rsidRPr="00BC4B5A">
        <w:rPr>
          <w:rFonts w:eastAsia="Times New Roman"/>
          <w:snapToGrid w:val="0"/>
          <w:szCs w:val="24"/>
          <w:lang w:val="en-US" w:eastAsia="en-US"/>
        </w:rPr>
        <w:t>in</w:t>
      </w:r>
      <w:r w:rsidRPr="00BC4B5A">
        <w:rPr>
          <w:rFonts w:eastAsia="Times New Roman"/>
          <w:snapToGrid w:val="0"/>
          <w:spacing w:val="-16"/>
          <w:szCs w:val="24"/>
          <w:lang w:val="en-US" w:eastAsia="en-US"/>
        </w:rPr>
        <w:t xml:space="preserve"> </w:t>
      </w:r>
      <w:r w:rsidRPr="00BC4B5A">
        <w:rPr>
          <w:rFonts w:eastAsia="Times New Roman"/>
          <w:snapToGrid w:val="0"/>
          <w:spacing w:val="-2"/>
          <w:szCs w:val="24"/>
          <w:lang w:val="en-US" w:eastAsia="en-US"/>
        </w:rPr>
        <w:t>Granular</w:t>
      </w:r>
      <w:r w:rsidRPr="00BC4B5A">
        <w:rPr>
          <w:rFonts w:eastAsia="Times New Roman"/>
          <w:snapToGrid w:val="0"/>
          <w:spacing w:val="-18"/>
          <w:szCs w:val="24"/>
          <w:lang w:val="en-US" w:eastAsia="en-US"/>
        </w:rPr>
        <w:t xml:space="preserve"> </w:t>
      </w:r>
      <w:r w:rsidRPr="00BC4B5A">
        <w:rPr>
          <w:rFonts w:eastAsia="Times New Roman"/>
          <w:snapToGrid w:val="0"/>
          <w:szCs w:val="24"/>
          <w:lang w:val="en-US" w:eastAsia="en-US"/>
        </w:rPr>
        <w:t>damping</w:t>
      </w:r>
      <w:r w:rsidRPr="00BC4B5A">
        <w:rPr>
          <w:rFonts w:eastAsia="Times New Roman"/>
          <w:snapToGrid w:val="0"/>
          <w:spacing w:val="-16"/>
          <w:szCs w:val="24"/>
          <w:lang w:val="en-US" w:eastAsia="en-US"/>
        </w:rPr>
        <w:t xml:space="preserve"> </w:t>
      </w:r>
      <w:r w:rsidRPr="00BC4B5A">
        <w:rPr>
          <w:rFonts w:eastAsia="Times New Roman"/>
          <w:snapToGrid w:val="0"/>
          <w:spacing w:val="-2"/>
          <w:szCs w:val="24"/>
          <w:lang w:val="en-US" w:eastAsia="en-US"/>
        </w:rPr>
        <w:t>elemen</w:t>
      </w:r>
      <w:r w:rsidRPr="00BC4B5A">
        <w:rPr>
          <w:rFonts w:eastAsia="Times New Roman"/>
          <w:snapToGrid w:val="0"/>
          <w:spacing w:val="-1"/>
          <w:szCs w:val="24"/>
          <w:lang w:val="en-US" w:eastAsia="en-US"/>
        </w:rPr>
        <w:t xml:space="preserve">ts. </w:t>
      </w:r>
      <w:r w:rsidRPr="00BC4B5A">
        <w:rPr>
          <w:rFonts w:eastAsia="Times New Roman"/>
          <w:snapToGrid w:val="0"/>
          <w:szCs w:val="24"/>
          <w:lang w:val="en-US" w:eastAsia="en-US"/>
        </w:rPr>
        <w:t>Besides</w:t>
      </w:r>
      <w:r w:rsidRPr="00BC4B5A">
        <w:rPr>
          <w:rFonts w:eastAsia="Times New Roman"/>
          <w:snapToGrid w:val="0"/>
          <w:spacing w:val="-17"/>
          <w:szCs w:val="24"/>
          <w:lang w:val="en-US" w:eastAsia="en-US"/>
        </w:rPr>
        <w:t xml:space="preserve"> </w:t>
      </w:r>
      <w:r w:rsidRPr="00BC4B5A">
        <w:rPr>
          <w:rFonts w:eastAsia="Times New Roman"/>
          <w:snapToGrid w:val="0"/>
          <w:spacing w:val="-3"/>
          <w:szCs w:val="24"/>
          <w:lang w:val="en-US" w:eastAsia="en-US"/>
        </w:rPr>
        <w:t>having</w:t>
      </w:r>
      <w:r w:rsidRPr="00BC4B5A">
        <w:rPr>
          <w:rFonts w:eastAsia="Times New Roman"/>
          <w:snapToGrid w:val="0"/>
          <w:spacing w:val="-16"/>
          <w:szCs w:val="24"/>
          <w:lang w:val="en-US" w:eastAsia="en-US"/>
        </w:rPr>
        <w:t xml:space="preserve"> </w:t>
      </w:r>
      <w:r w:rsidRPr="00BC4B5A">
        <w:rPr>
          <w:rFonts w:eastAsia="Times New Roman"/>
          <w:snapToGrid w:val="0"/>
          <w:szCs w:val="24"/>
          <w:lang w:val="en-US" w:eastAsia="en-US"/>
        </w:rPr>
        <w:t>the</w:t>
      </w:r>
      <w:r w:rsidRPr="00BC4B5A">
        <w:rPr>
          <w:rFonts w:eastAsia="Times New Roman"/>
          <w:snapToGrid w:val="0"/>
          <w:spacing w:val="-18"/>
          <w:szCs w:val="24"/>
          <w:lang w:val="en-US" w:eastAsia="en-US"/>
        </w:rPr>
        <w:t xml:space="preserve"> </w:t>
      </w:r>
      <w:r w:rsidRPr="00BC4B5A">
        <w:rPr>
          <w:rFonts w:eastAsia="Times New Roman"/>
          <w:snapToGrid w:val="0"/>
          <w:szCs w:val="24"/>
          <w:lang w:val="en-US" w:eastAsia="en-US"/>
        </w:rPr>
        <w:t>largest</w:t>
      </w:r>
      <w:r w:rsidRPr="00BC4B5A">
        <w:rPr>
          <w:rFonts w:eastAsia="Times New Roman"/>
          <w:snapToGrid w:val="0"/>
          <w:spacing w:val="-17"/>
          <w:szCs w:val="24"/>
          <w:lang w:val="en-US" w:eastAsia="en-US"/>
        </w:rPr>
        <w:t xml:space="preserve"> </w:t>
      </w:r>
      <w:r w:rsidRPr="00BC4B5A">
        <w:rPr>
          <w:rFonts w:eastAsia="Times New Roman"/>
          <w:snapToGrid w:val="0"/>
          <w:spacing w:val="-3"/>
          <w:szCs w:val="24"/>
          <w:lang w:val="en-US" w:eastAsia="en-US"/>
        </w:rPr>
        <w:t>v</w:t>
      </w:r>
      <w:r w:rsidRPr="00BC4B5A">
        <w:rPr>
          <w:rFonts w:eastAsia="Times New Roman"/>
          <w:snapToGrid w:val="0"/>
          <w:spacing w:val="-4"/>
          <w:szCs w:val="24"/>
          <w:lang w:val="en-US" w:eastAsia="en-US"/>
        </w:rPr>
        <w:t>alues</w:t>
      </w:r>
      <w:r w:rsidRPr="00BC4B5A">
        <w:rPr>
          <w:rFonts w:eastAsia="Times New Roman"/>
          <w:snapToGrid w:val="0"/>
          <w:spacing w:val="27"/>
          <w:w w:val="92"/>
          <w:szCs w:val="24"/>
          <w:lang w:val="en-US" w:eastAsia="en-US"/>
        </w:rPr>
        <w:t xml:space="preserve"> </w:t>
      </w:r>
      <w:r w:rsidRPr="00BC4B5A">
        <w:rPr>
          <w:rFonts w:eastAsia="Times New Roman"/>
          <w:snapToGrid w:val="0"/>
          <w:szCs w:val="24"/>
          <w:lang w:val="en-US" w:eastAsia="en-US"/>
        </w:rPr>
        <w:t>of</w:t>
      </w:r>
      <w:r w:rsidRPr="00BC4B5A">
        <w:rPr>
          <w:rFonts w:eastAsia="Times New Roman"/>
          <w:snapToGrid w:val="0"/>
          <w:spacing w:val="3"/>
          <w:szCs w:val="24"/>
          <w:lang w:val="en-US" w:eastAsia="en-US"/>
        </w:rPr>
        <w:t xml:space="preserve"> </w:t>
      </w:r>
      <w:r w:rsidRPr="00BC4B5A">
        <w:rPr>
          <w:rFonts w:eastAsia="Times New Roman"/>
          <w:snapToGrid w:val="0"/>
          <w:szCs w:val="24"/>
          <w:lang w:val="en-US" w:eastAsia="en-US"/>
        </w:rPr>
        <w:t>loss</w:t>
      </w:r>
      <w:r w:rsidRPr="00BC4B5A">
        <w:rPr>
          <w:rFonts w:eastAsia="Times New Roman"/>
          <w:snapToGrid w:val="0"/>
          <w:spacing w:val="2"/>
          <w:szCs w:val="24"/>
          <w:lang w:val="en-US" w:eastAsia="en-US"/>
        </w:rPr>
        <w:t xml:space="preserve"> </w:t>
      </w:r>
      <w:r w:rsidRPr="00BC4B5A">
        <w:rPr>
          <w:rFonts w:eastAsia="Times New Roman"/>
          <w:snapToGrid w:val="0"/>
          <w:szCs w:val="24"/>
          <w:lang w:val="en-US" w:eastAsia="en-US"/>
        </w:rPr>
        <w:t>modulus</w:t>
      </w:r>
      <m:oMath>
        <m:r>
          <w:rPr>
            <w:rFonts w:ascii="Cambria Math" w:eastAsia="Times New Roman" w:hAnsi="Cambria Math"/>
            <w:snapToGrid w:val="0"/>
            <w:spacing w:val="-27"/>
            <w:szCs w:val="24"/>
            <w:lang w:val="en-US" w:eastAsia="en-US"/>
          </w:rPr>
          <m:t xml:space="preserve"> G''(ω)</m:t>
        </m:r>
      </m:oMath>
      <w:r w:rsidRPr="00BC4B5A">
        <w:rPr>
          <w:rFonts w:eastAsia="Times New Roman"/>
          <w:snapToGrid w:val="0"/>
          <w:spacing w:val="3"/>
          <w:szCs w:val="24"/>
          <w:lang w:val="en-US" w:eastAsia="en-US"/>
        </w:rPr>
        <w:t xml:space="preserve"> </w:t>
      </w:r>
      <w:r w:rsidRPr="00BC4B5A">
        <w:rPr>
          <w:rFonts w:eastAsia="Times New Roman"/>
          <w:snapToGrid w:val="0"/>
          <w:szCs w:val="24"/>
          <w:lang w:val="en-US" w:eastAsia="en-US"/>
        </w:rPr>
        <w:t>it</w:t>
      </w:r>
      <w:r w:rsidRPr="00BC4B5A">
        <w:rPr>
          <w:rFonts w:eastAsia="Times New Roman"/>
          <w:snapToGrid w:val="0"/>
          <w:spacing w:val="3"/>
          <w:szCs w:val="24"/>
          <w:lang w:val="en-US" w:eastAsia="en-US"/>
        </w:rPr>
        <w:t xml:space="preserve"> </w:t>
      </w:r>
      <w:r w:rsidRPr="00BC4B5A">
        <w:rPr>
          <w:rFonts w:eastAsia="Times New Roman"/>
          <w:snapToGrid w:val="0"/>
          <w:szCs w:val="24"/>
          <w:lang w:val="en-US" w:eastAsia="en-US"/>
        </w:rPr>
        <w:t>is</w:t>
      </w:r>
      <w:r w:rsidRPr="00BC4B5A">
        <w:rPr>
          <w:rFonts w:eastAsia="Times New Roman"/>
          <w:snapToGrid w:val="0"/>
          <w:spacing w:val="3"/>
          <w:szCs w:val="24"/>
          <w:lang w:val="en-US" w:eastAsia="en-US"/>
        </w:rPr>
        <w:t xml:space="preserve"> </w:t>
      </w:r>
      <w:r w:rsidRPr="00BC4B5A">
        <w:rPr>
          <w:rFonts w:eastAsia="Times New Roman"/>
          <w:snapToGrid w:val="0"/>
          <w:szCs w:val="24"/>
          <w:lang w:val="en-US" w:eastAsia="en-US"/>
        </w:rPr>
        <w:t>also</w:t>
      </w:r>
      <w:r w:rsidRPr="00BC4B5A">
        <w:rPr>
          <w:rFonts w:eastAsia="Times New Roman"/>
          <w:snapToGrid w:val="0"/>
          <w:spacing w:val="3"/>
          <w:szCs w:val="24"/>
          <w:lang w:val="en-US" w:eastAsia="en-US"/>
        </w:rPr>
        <w:t xml:space="preserve"> </w:t>
      </w:r>
      <w:r w:rsidRPr="00BC4B5A">
        <w:rPr>
          <w:rFonts w:eastAsia="Times New Roman"/>
          <w:snapToGrid w:val="0"/>
          <w:szCs w:val="24"/>
          <w:lang w:val="en-US" w:eastAsia="en-US"/>
        </w:rPr>
        <w:t>the</w:t>
      </w:r>
      <w:r w:rsidRPr="00BC4B5A">
        <w:rPr>
          <w:rFonts w:eastAsia="Times New Roman"/>
          <w:snapToGrid w:val="0"/>
          <w:spacing w:val="3"/>
          <w:szCs w:val="24"/>
          <w:lang w:val="en-US" w:eastAsia="en-US"/>
        </w:rPr>
        <w:t xml:space="preserve"> </w:t>
      </w:r>
      <w:r w:rsidRPr="00BC4B5A">
        <w:rPr>
          <w:rFonts w:eastAsia="Times New Roman"/>
          <w:snapToGrid w:val="0"/>
          <w:szCs w:val="24"/>
          <w:lang w:val="en-US" w:eastAsia="en-US"/>
        </w:rPr>
        <w:t>most</w:t>
      </w:r>
      <w:r w:rsidRPr="00BC4B5A">
        <w:rPr>
          <w:rFonts w:eastAsia="Times New Roman"/>
          <w:snapToGrid w:val="0"/>
          <w:spacing w:val="3"/>
          <w:szCs w:val="24"/>
          <w:lang w:val="en-US" w:eastAsia="en-US"/>
        </w:rPr>
        <w:t xml:space="preserve"> </w:t>
      </w:r>
      <w:r w:rsidRPr="00BC4B5A">
        <w:rPr>
          <w:rFonts w:eastAsia="Times New Roman"/>
          <w:snapToGrid w:val="0"/>
          <w:spacing w:val="-2"/>
          <w:szCs w:val="24"/>
          <w:lang w:val="en-US" w:eastAsia="en-US"/>
        </w:rPr>
        <w:t>sensi</w:t>
      </w:r>
      <w:r w:rsidRPr="00BC4B5A">
        <w:rPr>
          <w:rFonts w:eastAsia="Times New Roman"/>
          <w:snapToGrid w:val="0"/>
          <w:spacing w:val="-1"/>
          <w:szCs w:val="24"/>
          <w:lang w:val="en-US" w:eastAsia="en-US"/>
        </w:rPr>
        <w:t>tiv</w:t>
      </w:r>
      <w:r w:rsidRPr="00BC4B5A">
        <w:rPr>
          <w:rFonts w:eastAsia="Times New Roman"/>
          <w:snapToGrid w:val="0"/>
          <w:spacing w:val="-2"/>
          <w:szCs w:val="24"/>
          <w:lang w:val="en-US" w:eastAsia="en-US"/>
        </w:rPr>
        <w:t>e</w:t>
      </w:r>
      <w:r w:rsidRPr="00BC4B5A">
        <w:rPr>
          <w:rFonts w:eastAsia="Times New Roman"/>
          <w:snapToGrid w:val="0"/>
          <w:spacing w:val="3"/>
          <w:szCs w:val="24"/>
          <w:lang w:val="en-US" w:eastAsia="en-US"/>
        </w:rPr>
        <w:t xml:space="preserve"> </w:t>
      </w:r>
      <w:r w:rsidRPr="00BC4B5A">
        <w:rPr>
          <w:rFonts w:eastAsia="Times New Roman"/>
          <w:snapToGrid w:val="0"/>
          <w:szCs w:val="24"/>
          <w:lang w:val="en-US" w:eastAsia="en-US"/>
        </w:rPr>
        <w:t>to</w:t>
      </w:r>
      <w:r w:rsidRPr="00BC4B5A">
        <w:rPr>
          <w:rFonts w:eastAsia="Times New Roman"/>
          <w:snapToGrid w:val="0"/>
          <w:spacing w:val="3"/>
          <w:szCs w:val="24"/>
          <w:lang w:val="en-US" w:eastAsia="en-US"/>
        </w:rPr>
        <w:t xml:space="preserve"> </w:t>
      </w:r>
      <w:r w:rsidRPr="00BC4B5A">
        <w:rPr>
          <w:rFonts w:eastAsia="Times New Roman"/>
          <w:snapToGrid w:val="0"/>
          <w:szCs w:val="24"/>
          <w:lang w:val="en-US" w:eastAsia="en-US"/>
        </w:rPr>
        <w:t>pressure.</w:t>
      </w:r>
      <w:r w:rsidRPr="00BC4B5A">
        <w:rPr>
          <w:rFonts w:eastAsia="Times New Roman"/>
          <w:snapToGrid w:val="0"/>
          <w:spacing w:val="39"/>
          <w:szCs w:val="24"/>
          <w:lang w:val="en-US" w:eastAsia="en-US"/>
        </w:rPr>
        <w:t xml:space="preserve"> </w:t>
      </w:r>
      <w:r w:rsidRPr="00BC4B5A">
        <w:rPr>
          <w:rFonts w:eastAsia="Times New Roman"/>
          <w:snapToGrid w:val="0"/>
          <w:szCs w:val="24"/>
          <w:lang w:val="en-US" w:eastAsia="en-US"/>
        </w:rPr>
        <w:t>Meaning,</w:t>
      </w:r>
      <w:r w:rsidRPr="00BC4B5A">
        <w:rPr>
          <w:rFonts w:eastAsia="Times New Roman"/>
          <w:snapToGrid w:val="0"/>
          <w:spacing w:val="6"/>
          <w:szCs w:val="24"/>
          <w:lang w:val="en-US" w:eastAsia="en-US"/>
        </w:rPr>
        <w:t xml:space="preserve"> </w:t>
      </w:r>
      <w:r w:rsidRPr="00BC4B5A">
        <w:rPr>
          <w:rFonts w:eastAsia="Times New Roman"/>
          <w:snapToGrid w:val="0"/>
          <w:szCs w:val="24"/>
          <w:lang w:val="en-US" w:eastAsia="en-US"/>
        </w:rPr>
        <w:t xml:space="preserve">that even at relatively small applied hydrostatic pressures the increase of loss modulus </w:t>
      </w:r>
      <m:oMath>
        <m:r>
          <w:rPr>
            <w:rFonts w:ascii="Cambria Math" w:eastAsia="Times New Roman" w:hAnsi="Cambria Math"/>
            <w:snapToGrid w:val="0"/>
            <w:spacing w:val="-27"/>
            <w:szCs w:val="24"/>
            <w:lang w:val="en-US" w:eastAsia="en-US"/>
          </w:rPr>
          <m:t>G''(ω)</m:t>
        </m:r>
      </m:oMath>
      <w:r w:rsidRPr="00BC4B5A">
        <w:rPr>
          <w:rFonts w:eastAsia="Times New Roman"/>
          <w:snapToGrid w:val="0"/>
          <w:spacing w:val="-2"/>
          <w:szCs w:val="24"/>
          <w:lang w:val="en-US" w:eastAsia="en-US"/>
        </w:rPr>
        <w:t xml:space="preserve"> is higher </w:t>
      </w:r>
      <w:r w:rsidRPr="00BC4B5A">
        <w:rPr>
          <w:rFonts w:eastAsia="Times New Roman"/>
          <w:snapToGrid w:val="0"/>
          <w:szCs w:val="24"/>
          <w:lang w:val="en-US" w:eastAsia="en-US"/>
        </w:rPr>
        <w:t>compared</w:t>
      </w:r>
      <w:r w:rsidRPr="00BC4B5A">
        <w:rPr>
          <w:rFonts w:eastAsia="Times New Roman"/>
          <w:snapToGrid w:val="0"/>
          <w:spacing w:val="10"/>
          <w:szCs w:val="24"/>
          <w:lang w:val="en-US" w:eastAsia="en-US"/>
        </w:rPr>
        <w:t xml:space="preserve"> </w:t>
      </w:r>
      <w:r w:rsidRPr="00BC4B5A">
        <w:rPr>
          <w:rFonts w:eastAsia="Times New Roman"/>
          <w:snapToGrid w:val="0"/>
          <w:szCs w:val="24"/>
          <w:lang w:val="en-US" w:eastAsia="en-US"/>
        </w:rPr>
        <w:t>to</w:t>
      </w:r>
      <w:r w:rsidRPr="00BC4B5A">
        <w:rPr>
          <w:rFonts w:eastAsia="Times New Roman"/>
          <w:snapToGrid w:val="0"/>
          <w:spacing w:val="10"/>
          <w:szCs w:val="24"/>
          <w:lang w:val="en-US" w:eastAsia="en-US"/>
        </w:rPr>
        <w:t xml:space="preserve"> the </w:t>
      </w:r>
      <w:r w:rsidRPr="00BC4B5A">
        <w:rPr>
          <w:rFonts w:eastAsia="Times New Roman"/>
          <w:snapToGrid w:val="0"/>
          <w:szCs w:val="24"/>
          <w:lang w:val="en-US" w:eastAsia="en-US"/>
        </w:rPr>
        <w:t>other</w:t>
      </w:r>
      <w:r w:rsidRPr="00BC4B5A">
        <w:rPr>
          <w:rFonts w:eastAsia="Times New Roman"/>
          <w:snapToGrid w:val="0"/>
          <w:spacing w:val="10"/>
          <w:szCs w:val="24"/>
          <w:lang w:val="en-US" w:eastAsia="en-US"/>
        </w:rPr>
        <w:t xml:space="preserve"> </w:t>
      </w:r>
      <w:r w:rsidRPr="00BC4B5A">
        <w:rPr>
          <w:rFonts w:eastAsia="Times New Roman"/>
          <w:snapToGrid w:val="0"/>
          <w:spacing w:val="-5"/>
          <w:szCs w:val="24"/>
          <w:lang w:val="en-US" w:eastAsia="en-US"/>
        </w:rPr>
        <w:t>t</w:t>
      </w:r>
      <w:r w:rsidRPr="00BC4B5A">
        <w:rPr>
          <w:rFonts w:eastAsia="Times New Roman"/>
          <w:snapToGrid w:val="0"/>
          <w:spacing w:val="-6"/>
          <w:szCs w:val="24"/>
          <w:lang w:val="en-US" w:eastAsia="en-US"/>
        </w:rPr>
        <w:t>wo</w:t>
      </w:r>
      <w:r w:rsidRPr="00BC4B5A">
        <w:rPr>
          <w:rFonts w:eastAsia="Times New Roman"/>
          <w:snapToGrid w:val="0"/>
          <w:spacing w:val="10"/>
          <w:szCs w:val="24"/>
          <w:lang w:val="en-US" w:eastAsia="en-US"/>
        </w:rPr>
        <w:t xml:space="preserve"> </w:t>
      </w:r>
      <w:r w:rsidRPr="00BC4B5A">
        <w:rPr>
          <w:rFonts w:eastAsia="Times New Roman"/>
          <w:snapToGrid w:val="0"/>
          <w:szCs w:val="24"/>
          <w:lang w:val="en-US" w:eastAsia="en-US"/>
        </w:rPr>
        <w:t>materials.</w:t>
      </w:r>
    </w:p>
    <w:p w:rsidR="00BC4B5A" w:rsidRPr="00BC4B5A" w:rsidRDefault="00BC4B5A" w:rsidP="00BC4B5A">
      <w:pPr>
        <w:widowControl w:val="0"/>
        <w:tabs>
          <w:tab w:val="left" w:pos="-720"/>
          <w:tab w:val="left" w:pos="284"/>
        </w:tabs>
        <w:spacing w:after="0" w:line="240" w:lineRule="auto"/>
        <w:jc w:val="both"/>
        <w:rPr>
          <w:rFonts w:eastAsia="Times New Roman"/>
          <w:snapToGrid w:val="0"/>
          <w:szCs w:val="24"/>
          <w:lang w:val="en-US" w:eastAsia="en-US"/>
        </w:rPr>
      </w:pPr>
    </w:p>
    <w:p w:rsidR="00BC4B5A" w:rsidRPr="00BC4B5A" w:rsidRDefault="00BC4B5A" w:rsidP="00BC4B5A">
      <w:pPr>
        <w:widowControl w:val="0"/>
        <w:tabs>
          <w:tab w:val="left" w:pos="-720"/>
          <w:tab w:val="left" w:pos="284"/>
        </w:tabs>
        <w:spacing w:after="0" w:line="240" w:lineRule="auto"/>
        <w:jc w:val="both"/>
        <w:rPr>
          <w:rFonts w:eastAsia="Times New Roman"/>
          <w:snapToGrid w:val="0"/>
          <w:szCs w:val="24"/>
          <w:lang w:val="en-US" w:eastAsia="en-US"/>
        </w:rPr>
      </w:pPr>
    </w:p>
    <w:p w:rsidR="00BC4B5A" w:rsidRPr="00BC4B5A" w:rsidRDefault="00BC4B5A" w:rsidP="00BC4B5A">
      <w:pPr>
        <w:keepNext/>
        <w:spacing w:after="0" w:line="240" w:lineRule="auto"/>
        <w:jc w:val="both"/>
        <w:outlineLvl w:val="0"/>
        <w:rPr>
          <w:rFonts w:eastAsia="Calibri"/>
          <w:b/>
          <w:caps/>
          <w:snapToGrid w:val="0"/>
          <w:szCs w:val="24"/>
          <w:lang w:val="en-US" w:eastAsia="ja-JP" w:bidi="en-US"/>
        </w:rPr>
      </w:pPr>
      <w:r w:rsidRPr="00BC4B5A">
        <w:rPr>
          <w:rFonts w:eastAsia="Calibri"/>
          <w:b/>
          <w:caps/>
          <w:snapToGrid w:val="0"/>
          <w:szCs w:val="24"/>
          <w:lang w:val="en-US" w:eastAsia="ja-JP" w:bidi="en-US"/>
        </w:rPr>
        <w:t>4. Acknowledgement</w:t>
      </w: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US" w:eastAsia="en-US"/>
        </w:rPr>
      </w:pPr>
    </w:p>
    <w:p w:rsidR="00BC4B5A" w:rsidRPr="00BC4B5A" w:rsidRDefault="00BC4B5A" w:rsidP="00BC4B5A">
      <w:pPr>
        <w:widowControl w:val="0"/>
        <w:autoSpaceDE w:val="0"/>
        <w:autoSpaceDN w:val="0"/>
        <w:adjustRightInd w:val="0"/>
        <w:spacing w:after="0" w:line="240" w:lineRule="auto"/>
        <w:jc w:val="both"/>
        <w:rPr>
          <w:rFonts w:eastAsia="Times New Roman"/>
          <w:snapToGrid w:val="0"/>
          <w:color w:val="000000"/>
          <w:szCs w:val="24"/>
          <w:lang w:val="en-GB" w:eastAsia="en-US"/>
        </w:rPr>
      </w:pPr>
      <w:r w:rsidRPr="00BC4B5A">
        <w:rPr>
          <w:rFonts w:eastAsia="Times New Roman"/>
          <w:snapToGrid w:val="0"/>
          <w:color w:val="000000"/>
          <w:szCs w:val="24"/>
          <w:lang w:val="en-GB" w:eastAsia="en-US"/>
        </w:rPr>
        <w:t xml:space="preserve">The authors wish to thank Uroš Mavec and Ernest Tripodi for their contribution in performing shear relaxation measurements, and BASF for their generous donation of TPU materials. We also want to acknowledge the partial financial support of the Slovenian Research Founding Agency, under the contract P2-0264. </w:t>
      </w:r>
      <w:r w:rsidRPr="00BC4B5A">
        <w:rPr>
          <w:rFonts w:eastAsia="Times New Roman"/>
          <w:snapToGrid w:val="0"/>
          <w:szCs w:val="24"/>
          <w:lang w:val="en-US" w:eastAsia="ja-JP"/>
        </w:rPr>
        <w:t xml:space="preserve"> </w:t>
      </w:r>
    </w:p>
    <w:p w:rsidR="00BC4B5A" w:rsidRPr="00BC4B5A" w:rsidRDefault="00BC4B5A" w:rsidP="00BC4B5A">
      <w:pPr>
        <w:widowControl w:val="0"/>
        <w:spacing w:after="0" w:line="240" w:lineRule="auto"/>
        <w:jc w:val="both"/>
        <w:rPr>
          <w:rFonts w:eastAsia="MS Mincho"/>
          <w:snapToGrid w:val="0"/>
          <w:spacing w:val="-2"/>
          <w:sz w:val="20"/>
          <w:szCs w:val="24"/>
          <w:lang w:val="en-US" w:eastAsia="ja-JP"/>
        </w:rPr>
      </w:pPr>
    </w:p>
    <w:p w:rsidR="00BC4B5A" w:rsidRPr="00BC4B5A" w:rsidRDefault="00BC4B5A" w:rsidP="00BC4B5A">
      <w:pPr>
        <w:keepNext/>
        <w:spacing w:after="0" w:line="240" w:lineRule="auto"/>
        <w:jc w:val="both"/>
        <w:outlineLvl w:val="0"/>
        <w:rPr>
          <w:rFonts w:eastAsia="Calibri"/>
          <w:b/>
          <w:caps/>
          <w:snapToGrid w:val="0"/>
          <w:szCs w:val="24"/>
          <w:lang w:val="en-US" w:eastAsia="en-US" w:bidi="en-US"/>
        </w:rPr>
      </w:pPr>
      <w:r w:rsidRPr="00BC4B5A">
        <w:rPr>
          <w:rFonts w:eastAsia="Calibri"/>
          <w:b/>
          <w:caps/>
          <w:snapToGrid w:val="0"/>
          <w:szCs w:val="24"/>
          <w:lang w:val="en-US" w:eastAsia="en-US" w:bidi="en-US"/>
        </w:rPr>
        <w:t>5. References</w:t>
      </w:r>
    </w:p>
    <w:p w:rsidR="00BC4B5A" w:rsidRPr="00BC4B5A" w:rsidRDefault="00BC4B5A" w:rsidP="00BC4B5A">
      <w:pPr>
        <w:widowControl w:val="0"/>
        <w:spacing w:after="0" w:line="240" w:lineRule="auto"/>
        <w:jc w:val="both"/>
        <w:rPr>
          <w:rFonts w:eastAsia="Times New Roman"/>
          <w:snapToGrid w:val="0"/>
          <w:szCs w:val="24"/>
          <w:lang w:val="en-US" w:eastAsia="en-US" w:bidi="en-US"/>
        </w:rPr>
      </w:pPr>
    </w:p>
    <w:p w:rsidR="00BC4B5A" w:rsidRPr="00BC4B5A" w:rsidRDefault="00BC4B5A" w:rsidP="00BC4B5A">
      <w:pPr>
        <w:widowControl w:val="0"/>
        <w:spacing w:after="120" w:line="240" w:lineRule="auto"/>
        <w:jc w:val="both"/>
        <w:rPr>
          <w:rFonts w:eastAsia="Calibri"/>
          <w:snapToGrid w:val="0"/>
          <w:color w:val="000000"/>
          <w:sz w:val="20"/>
          <w:szCs w:val="20"/>
          <w:lang w:val="en-US" w:eastAsia="ja-JP" w:bidi="en-US"/>
        </w:rPr>
      </w:pPr>
      <w:r w:rsidRPr="00BC4B5A">
        <w:rPr>
          <w:rFonts w:eastAsia="Calibri"/>
          <w:snapToGrid w:val="0"/>
          <w:color w:val="000000"/>
          <w:sz w:val="20"/>
          <w:szCs w:val="20"/>
          <w:lang w:val="en-US" w:eastAsia="en-US" w:bidi="en-US"/>
        </w:rPr>
        <w:t>C. Hansen, Effects of low-frequency noise and vibration on people (Brentwood, UK, 2007).</w:t>
      </w:r>
      <w:r w:rsidRPr="00BC4B5A">
        <w:rPr>
          <w:rFonts w:eastAsia="Calibri"/>
          <w:snapToGrid w:val="0"/>
          <w:color w:val="000000"/>
          <w:sz w:val="20"/>
          <w:szCs w:val="20"/>
          <w:lang w:val="en-US" w:eastAsia="ja-JP" w:bidi="en-US"/>
        </w:rPr>
        <w:t xml:space="preserve"> </w:t>
      </w:r>
    </w:p>
    <w:p w:rsidR="00BC4B5A" w:rsidRPr="00BC4B5A" w:rsidRDefault="00BC4B5A" w:rsidP="00BC4B5A">
      <w:pPr>
        <w:widowControl w:val="0"/>
        <w:spacing w:after="120" w:line="240" w:lineRule="auto"/>
        <w:jc w:val="both"/>
        <w:rPr>
          <w:rFonts w:eastAsia="Calibri"/>
          <w:snapToGrid w:val="0"/>
          <w:color w:val="000000"/>
          <w:sz w:val="20"/>
          <w:szCs w:val="20"/>
          <w:lang w:val="en-US" w:eastAsia="ja-JP" w:bidi="en-US"/>
        </w:rPr>
      </w:pPr>
      <w:r w:rsidRPr="00BC4B5A">
        <w:rPr>
          <w:rFonts w:eastAsia="Calibri"/>
          <w:snapToGrid w:val="0"/>
          <w:color w:val="000000"/>
          <w:sz w:val="20"/>
          <w:szCs w:val="20"/>
          <w:lang w:val="en-US" w:eastAsia="en-US" w:bidi="en-US"/>
        </w:rPr>
        <w:t>M. J. Crocker, Handbook of noise and vibration control (John Wiley &amp; Sons, 2007).</w:t>
      </w:r>
    </w:p>
    <w:p w:rsidR="00BC4B5A" w:rsidRPr="00BC4B5A" w:rsidRDefault="00BC4B5A" w:rsidP="00BC4B5A">
      <w:pPr>
        <w:widowControl w:val="0"/>
        <w:spacing w:after="120" w:line="240" w:lineRule="auto"/>
        <w:jc w:val="both"/>
        <w:rPr>
          <w:rFonts w:eastAsia="Calibri"/>
          <w:snapToGrid w:val="0"/>
          <w:color w:val="000000"/>
          <w:sz w:val="20"/>
          <w:szCs w:val="20"/>
          <w:lang w:val="en-US" w:eastAsia="ja-JP" w:bidi="en-US"/>
        </w:rPr>
      </w:pPr>
      <w:r w:rsidRPr="00BC4B5A">
        <w:rPr>
          <w:rFonts w:eastAsia="Calibri"/>
          <w:snapToGrid w:val="0"/>
          <w:color w:val="000000"/>
          <w:sz w:val="20"/>
          <w:szCs w:val="20"/>
          <w:lang w:val="en-US" w:eastAsia="en-US" w:bidi="en-US"/>
        </w:rPr>
        <w:t>D. D. L. Chung, Journal of Materials Science 36, 5733 (2001)</w:t>
      </w:r>
      <w:r w:rsidRPr="00BC4B5A">
        <w:rPr>
          <w:rFonts w:eastAsia="Calibri"/>
          <w:snapToGrid w:val="0"/>
          <w:color w:val="000000"/>
          <w:sz w:val="20"/>
          <w:szCs w:val="20"/>
          <w:lang w:val="en-US" w:eastAsia="ja-JP" w:bidi="en-US"/>
        </w:rPr>
        <w:t xml:space="preserve"> </w:t>
      </w:r>
    </w:p>
    <w:p w:rsidR="00BC4B5A" w:rsidRPr="00BC4B5A" w:rsidRDefault="00BC4B5A" w:rsidP="00BC4B5A">
      <w:pPr>
        <w:widowControl w:val="0"/>
        <w:spacing w:after="120" w:line="240" w:lineRule="auto"/>
        <w:jc w:val="both"/>
        <w:rPr>
          <w:rFonts w:eastAsia="Calibri"/>
          <w:snapToGrid w:val="0"/>
          <w:color w:val="000000"/>
          <w:sz w:val="20"/>
          <w:szCs w:val="20"/>
          <w:lang w:val="en-US" w:eastAsia="ja-JP" w:bidi="en-US"/>
        </w:rPr>
      </w:pPr>
      <w:r w:rsidRPr="00BC4B5A">
        <w:rPr>
          <w:rFonts w:eastAsia="Calibri"/>
          <w:snapToGrid w:val="0"/>
          <w:color w:val="000000"/>
          <w:sz w:val="20"/>
          <w:szCs w:val="20"/>
          <w:lang w:val="en-US" w:eastAsia="en-US" w:bidi="en-US"/>
        </w:rPr>
        <w:t>E. I. Rivin, Passive vibration isolation (Asme press New York, 2003) p. 432.</w:t>
      </w:r>
    </w:p>
    <w:p w:rsidR="00BC4B5A" w:rsidRPr="00BC4B5A" w:rsidRDefault="00BC4B5A" w:rsidP="00BC4B5A">
      <w:pPr>
        <w:widowControl w:val="0"/>
        <w:spacing w:after="12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R. Lakes, Viscoelastic Materials (Cambridge University Press, 2009).</w:t>
      </w:r>
    </w:p>
    <w:p w:rsidR="00BC4B5A" w:rsidRPr="00BC4B5A" w:rsidRDefault="00BC4B5A" w:rsidP="00BC4B5A">
      <w:pPr>
        <w:widowControl w:val="0"/>
        <w:spacing w:after="12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D. I. G. Jones, Handbook of viscoelastic vibration damping (John Wiley &amp; Sons, 2001).</w:t>
      </w:r>
    </w:p>
    <w:p w:rsidR="00BC4B5A" w:rsidRPr="00BC4B5A" w:rsidRDefault="00BC4B5A" w:rsidP="00BC4B5A">
      <w:pPr>
        <w:widowControl w:val="0"/>
        <w:spacing w:after="12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R. S. Lakes, Journal of Composite Materials 36 (2002), 10.1106/002199802023538.</w:t>
      </w:r>
    </w:p>
    <w:p w:rsidR="00BC4B5A" w:rsidRPr="00BC4B5A" w:rsidRDefault="00BC4B5A" w:rsidP="00BC4B5A">
      <w:pPr>
        <w:widowControl w:val="0"/>
        <w:spacing w:after="12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I. Emri and B. von Bernstorff, “Dissipative bulk and granular systems technology," (2016), patent</w:t>
      </w:r>
      <w:r w:rsidRPr="00BC4B5A">
        <w:rPr>
          <w:rFonts w:eastAsia="Calibri"/>
          <w:snapToGrid w:val="0"/>
          <w:color w:val="000000"/>
          <w:sz w:val="20"/>
          <w:szCs w:val="20"/>
          <w:lang w:val="sl-SI" w:eastAsia="en-US" w:bidi="en-US"/>
        </w:rPr>
        <w:t xml:space="preserve"> </w:t>
      </w:r>
      <w:r w:rsidRPr="00BC4B5A">
        <w:rPr>
          <w:rFonts w:eastAsia="Calibri"/>
          <w:snapToGrid w:val="0"/>
          <w:color w:val="000000"/>
          <w:sz w:val="20"/>
          <w:szCs w:val="20"/>
          <w:lang w:val="en-US" w:eastAsia="en-US" w:bidi="en-US"/>
        </w:rPr>
        <w:t>EP2700839.</w:t>
      </w:r>
    </w:p>
    <w:p w:rsidR="00BC4B5A" w:rsidRPr="00BC4B5A" w:rsidRDefault="00BC4B5A" w:rsidP="00BC4B5A">
      <w:pPr>
        <w:widowControl w:val="0"/>
        <w:spacing w:after="12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I. Emri and T. Prodan, Experimental mechanics 46, 429 (2006).</w:t>
      </w:r>
    </w:p>
    <w:p w:rsidR="00BC4B5A" w:rsidRPr="00BC4B5A" w:rsidRDefault="00BC4B5A" w:rsidP="00BC4B5A">
      <w:pPr>
        <w:widowControl w:val="0"/>
        <w:spacing w:after="12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A. Kralj, T. Prodan, and I. Emri, Journal of Rheology 45, 929 (2001).</w:t>
      </w:r>
    </w:p>
    <w:p w:rsidR="00BC4B5A" w:rsidRPr="00BC4B5A" w:rsidRDefault="00BC4B5A" w:rsidP="00BC4B5A">
      <w:pPr>
        <w:widowControl w:val="0"/>
        <w:spacing w:after="12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M. Bek, J. Gonzalez-Gutierrez, J. A. M. Lopez, D. Bregant, and I. Emri, Powder Technology 288, 255 (2016).</w:t>
      </w:r>
    </w:p>
    <w:p w:rsidR="00BC4B5A" w:rsidRPr="00BC4B5A" w:rsidRDefault="00BC4B5A" w:rsidP="00BC4B5A">
      <w:pPr>
        <w:widowControl w:val="0"/>
        <w:spacing w:after="120" w:line="240" w:lineRule="auto"/>
        <w:jc w:val="both"/>
        <w:rPr>
          <w:rFonts w:eastAsia="Calibri"/>
          <w:snapToGrid w:val="0"/>
          <w:color w:val="000000"/>
          <w:sz w:val="20"/>
          <w:szCs w:val="20"/>
          <w:lang w:val="en-GB" w:eastAsia="ja-JP" w:bidi="en-US"/>
        </w:rPr>
      </w:pPr>
      <w:r w:rsidRPr="00BC4B5A">
        <w:rPr>
          <w:rFonts w:eastAsia="Calibri"/>
          <w:snapToGrid w:val="0"/>
          <w:color w:val="000000"/>
          <w:sz w:val="20"/>
          <w:szCs w:val="20"/>
          <w:lang w:val="en-US" w:eastAsia="en-US" w:bidi="en-US"/>
        </w:rPr>
        <w:t xml:space="preserve">M. Bek, </w:t>
      </w:r>
      <w:r w:rsidRPr="00BC4B5A">
        <w:rPr>
          <w:rFonts w:eastAsia="Calibri"/>
          <w:snapToGrid w:val="0"/>
          <w:color w:val="000000"/>
          <w:sz w:val="20"/>
          <w:szCs w:val="20"/>
          <w:lang w:val="en-GB" w:eastAsia="ja-JP" w:bidi="en-US"/>
        </w:rPr>
        <w:t>J. Betjes,</w:t>
      </w:r>
      <w:r w:rsidRPr="00BC4B5A">
        <w:rPr>
          <w:rFonts w:eastAsia="Calibri"/>
          <w:snapToGrid w:val="0"/>
          <w:color w:val="000000"/>
          <w:position w:val="10"/>
          <w:sz w:val="20"/>
          <w:szCs w:val="20"/>
          <w:lang w:val="en-GB" w:eastAsia="ja-JP" w:bidi="en-US"/>
        </w:rPr>
        <w:t xml:space="preserve"> </w:t>
      </w:r>
      <w:r w:rsidRPr="00BC4B5A">
        <w:rPr>
          <w:rFonts w:eastAsia="Calibri"/>
          <w:snapToGrid w:val="0"/>
          <w:color w:val="000000"/>
          <w:sz w:val="20"/>
          <w:szCs w:val="20"/>
          <w:lang w:val="en-GB" w:eastAsia="ja-JP" w:bidi="en-US"/>
        </w:rPr>
        <w:t>B. von Bernstorff,</w:t>
      </w:r>
      <w:r w:rsidRPr="00BC4B5A">
        <w:rPr>
          <w:rFonts w:eastAsia="Calibri"/>
          <w:snapToGrid w:val="0"/>
          <w:color w:val="000000"/>
          <w:position w:val="10"/>
          <w:sz w:val="20"/>
          <w:szCs w:val="20"/>
          <w:lang w:val="en-GB" w:eastAsia="ja-JP" w:bidi="en-US"/>
        </w:rPr>
        <w:t xml:space="preserve"> </w:t>
      </w:r>
      <w:r w:rsidRPr="00BC4B5A">
        <w:rPr>
          <w:rFonts w:eastAsia="Calibri"/>
          <w:snapToGrid w:val="0"/>
          <w:color w:val="000000"/>
          <w:sz w:val="20"/>
          <w:szCs w:val="20"/>
          <w:lang w:val="en-GB" w:eastAsia="ja-JP" w:bidi="en-US"/>
        </w:rPr>
        <w:t>and I. Emri, Viscoelasticity of the new generation TPU vibration isolation, Submitted to Physics of Fluids</w:t>
      </w:r>
    </w:p>
    <w:p w:rsidR="00BC4B5A" w:rsidRPr="00BC4B5A" w:rsidRDefault="00BC4B5A" w:rsidP="00BC4B5A">
      <w:pPr>
        <w:widowControl w:val="0"/>
        <w:spacing w:after="120" w:line="240" w:lineRule="auto"/>
        <w:jc w:val="both"/>
        <w:rPr>
          <w:rFonts w:eastAsia="Calibri"/>
          <w:snapToGrid w:val="0"/>
          <w:color w:val="000000"/>
          <w:sz w:val="20"/>
          <w:szCs w:val="20"/>
          <w:lang w:val="en-GB" w:eastAsia="ja-JP" w:bidi="en-US"/>
        </w:rPr>
      </w:pPr>
      <w:r w:rsidRPr="00BC4B5A">
        <w:rPr>
          <w:rFonts w:eastAsia="Calibri"/>
          <w:snapToGrid w:val="0"/>
          <w:color w:val="000000"/>
          <w:sz w:val="20"/>
          <w:szCs w:val="20"/>
          <w:lang w:val="en-US" w:eastAsia="en-US" w:bidi="en-US"/>
        </w:rPr>
        <w:t>W. G. Knauss, I. Emri, and H. Lu, Mechanics of Polymers: Viscoelasticity. In W. N.</w:t>
      </w:r>
      <w:r w:rsidRPr="00BC4B5A">
        <w:rPr>
          <w:rFonts w:eastAsia="Calibri"/>
          <w:snapToGrid w:val="0"/>
          <w:color w:val="000000"/>
          <w:sz w:val="20"/>
          <w:szCs w:val="20"/>
          <w:lang w:val="sl-SI" w:eastAsia="en-US" w:bidi="en-US"/>
        </w:rPr>
        <w:t xml:space="preserve"> </w:t>
      </w:r>
      <w:r w:rsidRPr="00BC4B5A">
        <w:rPr>
          <w:rFonts w:eastAsia="Calibri"/>
          <w:snapToGrid w:val="0"/>
          <w:color w:val="000000"/>
          <w:sz w:val="20"/>
          <w:szCs w:val="20"/>
          <w:lang w:val="en-US" w:eastAsia="en-US" w:bidi="en-US"/>
        </w:rPr>
        <w:t>Sharpe (Ed.), Springer Handbook of Experimental Solid Mechanics (Springer Verlag, 2008)</w:t>
      </w:r>
      <w:r w:rsidRPr="00BC4B5A">
        <w:rPr>
          <w:rFonts w:eastAsia="Calibri"/>
          <w:snapToGrid w:val="0"/>
          <w:color w:val="000000"/>
          <w:sz w:val="20"/>
          <w:szCs w:val="20"/>
          <w:lang w:val="sl-SI" w:eastAsia="en-US" w:bidi="en-US"/>
        </w:rPr>
        <w:t xml:space="preserve"> </w:t>
      </w:r>
      <w:r w:rsidRPr="00BC4B5A">
        <w:rPr>
          <w:rFonts w:eastAsia="Calibri"/>
          <w:snapToGrid w:val="0"/>
          <w:color w:val="000000"/>
          <w:sz w:val="20"/>
          <w:szCs w:val="20"/>
          <w:lang w:val="en-US" w:eastAsia="en-US" w:bidi="en-US"/>
        </w:rPr>
        <w:t>pp. 49-96</w:t>
      </w:r>
    </w:p>
    <w:p w:rsidR="00BC4B5A" w:rsidRPr="00BC4B5A" w:rsidRDefault="00BC4B5A" w:rsidP="00BC4B5A">
      <w:pPr>
        <w:widowControl w:val="0"/>
        <w:spacing w:after="12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R. Fillers and N. Tschoegl, Transactions of the Society of Rheology 21, 51 (1977).</w:t>
      </w:r>
    </w:p>
    <w:p w:rsidR="00BC4B5A" w:rsidRPr="00BC4B5A" w:rsidRDefault="00BC4B5A" w:rsidP="00BC4B5A">
      <w:pPr>
        <w:widowControl w:val="0"/>
        <w:spacing w:after="0" w:line="240" w:lineRule="auto"/>
        <w:jc w:val="both"/>
        <w:rPr>
          <w:rFonts w:eastAsia="Calibri"/>
          <w:snapToGrid w:val="0"/>
          <w:color w:val="000000"/>
          <w:sz w:val="20"/>
          <w:szCs w:val="20"/>
          <w:lang w:val="en-US" w:eastAsia="en-US" w:bidi="en-US"/>
        </w:rPr>
      </w:pPr>
      <w:r w:rsidRPr="00BC4B5A">
        <w:rPr>
          <w:rFonts w:eastAsia="Calibri"/>
          <w:snapToGrid w:val="0"/>
          <w:color w:val="000000"/>
          <w:sz w:val="20"/>
          <w:szCs w:val="20"/>
          <w:lang w:val="en-US" w:eastAsia="en-US" w:bidi="en-US"/>
        </w:rPr>
        <w:t>W. Moonan and N. Tschoegl, Macromolecules 16, 55 (1983)</w:t>
      </w:r>
    </w:p>
    <w:p w:rsidR="006B3BBD" w:rsidRPr="00BC4B5A" w:rsidRDefault="006B3BBD" w:rsidP="0013217D">
      <w:pPr>
        <w:spacing w:line="240" w:lineRule="auto"/>
        <w:jc w:val="both"/>
        <w:rPr>
          <w:lang w:val="en-US"/>
        </w:rPr>
      </w:pPr>
    </w:p>
    <w:sectPr w:rsidR="006B3BBD" w:rsidRPr="00BC4B5A" w:rsidSect="00BC4B5A">
      <w:headerReference w:type="default" r:id="rId17"/>
      <w:footerReference w:type="default" r:id="rId18"/>
      <w:headerReference w:type="first" r:id="rId19"/>
      <w:footerReference w:type="first" r:id="rId20"/>
      <w:pgSz w:w="11906" w:h="16838"/>
      <w:pgMar w:top="1418" w:right="1134" w:bottom="1418" w:left="1134" w:header="709" w:footer="709" w:gutter="0"/>
      <w:pgNumType w:start="25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DC2" w:rsidRDefault="00ED0DC2" w:rsidP="0013217D">
      <w:pPr>
        <w:spacing w:after="0" w:line="240" w:lineRule="auto"/>
      </w:pPr>
      <w:r>
        <w:separator/>
      </w:r>
    </w:p>
  </w:endnote>
  <w:endnote w:type="continuationSeparator" w:id="0">
    <w:p w:rsidR="00ED0DC2" w:rsidRDefault="00ED0DC2"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0605"/>
      <w:docPartObj>
        <w:docPartGallery w:val="Page Numbers (Bottom of Page)"/>
        <w:docPartUnique/>
      </w:docPartObj>
    </w:sdtPr>
    <w:sdtEndPr/>
    <w:sdtContent>
      <w:p w:rsidR="00BC4B5A" w:rsidRDefault="00BC4B5A">
        <w:pPr>
          <w:pStyle w:val="a5"/>
          <w:jc w:val="center"/>
        </w:pPr>
        <w:r>
          <w:fldChar w:fldCharType="begin"/>
        </w:r>
        <w:r>
          <w:instrText>PAGE   \* MERGEFORMAT</w:instrText>
        </w:r>
        <w:r>
          <w:fldChar w:fldCharType="separate"/>
        </w:r>
        <w:r w:rsidR="004F662B">
          <w:rPr>
            <w:noProof/>
          </w:rPr>
          <w:t>264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078951"/>
      <w:docPartObj>
        <w:docPartGallery w:val="Page Numbers (Bottom of Page)"/>
        <w:docPartUnique/>
      </w:docPartObj>
    </w:sdtPr>
    <w:sdtEndPr/>
    <w:sdtContent>
      <w:p w:rsidR="00BC4B5A" w:rsidRDefault="00BC4B5A">
        <w:pPr>
          <w:pStyle w:val="a5"/>
          <w:jc w:val="center"/>
        </w:pPr>
        <w:r>
          <w:fldChar w:fldCharType="begin"/>
        </w:r>
        <w:r>
          <w:instrText>PAGE   \* MERGEFORMAT</w:instrText>
        </w:r>
        <w:r>
          <w:fldChar w:fldCharType="separate"/>
        </w:r>
        <w:r w:rsidR="004F662B">
          <w:rPr>
            <w:noProof/>
          </w:rPr>
          <w:t>257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DC2" w:rsidRDefault="00ED0DC2" w:rsidP="0013217D">
      <w:pPr>
        <w:spacing w:after="0" w:line="240" w:lineRule="auto"/>
      </w:pPr>
      <w:r>
        <w:separator/>
      </w:r>
    </w:p>
  </w:footnote>
  <w:footnote w:type="continuationSeparator" w:id="0">
    <w:p w:rsidR="00ED0DC2" w:rsidRDefault="00ED0DC2" w:rsidP="0013217D">
      <w:pPr>
        <w:spacing w:after="0" w:line="240" w:lineRule="auto"/>
      </w:pPr>
      <w:r>
        <w:continuationSeparator/>
      </w:r>
    </w:p>
  </w:footnote>
  <w:footnote w:id="1">
    <w:p w:rsidR="00BC4B5A" w:rsidRPr="00BC4B5A" w:rsidRDefault="00BC4B5A" w:rsidP="00BC4B5A">
      <w:pPr>
        <w:pStyle w:val="a9"/>
        <w:rPr>
          <w:lang w:val="en-US"/>
        </w:rPr>
      </w:pPr>
      <w:r>
        <w:rPr>
          <w:rStyle w:val="ab"/>
        </w:rPr>
        <w:footnoteRef/>
      </w:r>
      <w:r w:rsidRPr="00BC4B5A">
        <w:rPr>
          <w:lang w:val="en-US"/>
        </w:rPr>
        <w:t xml:space="preserve"> </w:t>
      </w:r>
      <w:r w:rsidRPr="00BC4B5A">
        <w:rPr>
          <w:rFonts w:eastAsia="Calibri"/>
          <w:spacing w:val="-2"/>
          <w:sz w:val="22"/>
          <w:szCs w:val="22"/>
          <w:lang w:val="en-US"/>
        </w:rPr>
        <w:t>Center for Experimental Mechanics, Faculty of Mechanical Engineering, University of Ljubljana, Slovenia</w:t>
      </w:r>
    </w:p>
  </w:footnote>
  <w:footnote w:id="2">
    <w:p w:rsidR="00BC4B5A" w:rsidRPr="00BC4B5A" w:rsidRDefault="00BC4B5A" w:rsidP="00BC4B5A">
      <w:pPr>
        <w:pStyle w:val="a9"/>
        <w:rPr>
          <w:lang w:val="en-US"/>
        </w:rPr>
      </w:pPr>
      <w:r>
        <w:rPr>
          <w:rStyle w:val="ab"/>
        </w:rPr>
        <w:footnoteRef/>
      </w:r>
      <w:r w:rsidRPr="00BC4B5A">
        <w:rPr>
          <w:lang w:val="en-US"/>
        </w:rPr>
        <w:t xml:space="preserve"> International Academy of Engineering, Russia</w:t>
      </w:r>
    </w:p>
  </w:footnote>
  <w:footnote w:id="3">
    <w:p w:rsidR="00BC4B5A" w:rsidRPr="00BC4B5A" w:rsidRDefault="00BC4B5A" w:rsidP="00BC4B5A">
      <w:pPr>
        <w:pStyle w:val="a9"/>
        <w:rPr>
          <w:lang w:val="en-US"/>
        </w:rPr>
      </w:pPr>
      <w:r>
        <w:rPr>
          <w:rStyle w:val="ab"/>
        </w:rPr>
        <w:footnoteRef/>
      </w:r>
      <w:r w:rsidRPr="00BC4B5A">
        <w:rPr>
          <w:lang w:val="en-US"/>
        </w:rPr>
        <w:t xml:space="preserve"> </w:t>
      </w:r>
      <w:r w:rsidRPr="00BC4B5A">
        <w:rPr>
          <w:spacing w:val="-2"/>
          <w:lang w:val="en-US"/>
        </w:rPr>
        <w:t xml:space="preserve">Center for Experimental Mechanics, Faculty of Mechanical Engineering, University of Ljubljana, Slovenia; </w:t>
      </w:r>
      <w:r w:rsidRPr="00BC4B5A">
        <w:rPr>
          <w:lang w:val="en-US"/>
        </w:rPr>
        <w:t>International Academy of Engineering, Russia</w:t>
      </w:r>
    </w:p>
  </w:footnote>
  <w:footnote w:id="4">
    <w:p w:rsidR="00BC4B5A" w:rsidRPr="00BC4B5A" w:rsidRDefault="00BC4B5A" w:rsidP="00BC4B5A">
      <w:pPr>
        <w:pStyle w:val="a9"/>
        <w:rPr>
          <w:lang w:val="en-US"/>
        </w:rPr>
      </w:pPr>
      <w:r>
        <w:rPr>
          <w:rStyle w:val="ab"/>
        </w:rPr>
        <w:footnoteRef/>
      </w:r>
      <w:r w:rsidRPr="00BC4B5A">
        <w:rPr>
          <w:lang w:val="en-US"/>
        </w:rPr>
        <w:t xml:space="preserve"> International Academy of Engineering, Russia</w:t>
      </w:r>
    </w:p>
  </w:footnote>
  <w:footnote w:id="5">
    <w:p w:rsidR="00BC4B5A" w:rsidRPr="00BC4B5A" w:rsidRDefault="00BC4B5A" w:rsidP="00BC4B5A">
      <w:pPr>
        <w:pStyle w:val="a9"/>
        <w:rPr>
          <w:lang w:val="en-US"/>
        </w:rPr>
      </w:pPr>
      <w:r>
        <w:rPr>
          <w:rStyle w:val="ab"/>
        </w:rPr>
        <w:footnoteRef/>
      </w:r>
      <w:r w:rsidRPr="00BC4B5A">
        <w:rPr>
          <w:lang w:val="en-US"/>
        </w:rPr>
        <w:t xml:space="preserve"> International Academy of Engineering, Russia</w:t>
      </w:r>
    </w:p>
  </w:footnote>
  <w:footnote w:id="6">
    <w:p w:rsidR="00BC4B5A" w:rsidRPr="009D1F2C" w:rsidRDefault="00BC4B5A" w:rsidP="00BC4B5A">
      <w:pPr>
        <w:pStyle w:val="a9"/>
      </w:pPr>
      <w:r>
        <w:rPr>
          <w:rStyle w:val="ab"/>
        </w:rPr>
        <w:footnoteRef/>
      </w:r>
      <w:r>
        <w:t xml:space="preserve"> </w:t>
      </w:r>
      <w:r w:rsidRPr="0098407E">
        <w:t>International Academy of Engineering, Russia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8764752" wp14:editId="0C9AC9B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B04258"/>
    <w:multiLevelType w:val="hybridMultilevel"/>
    <w:tmpl w:val="13027EEE"/>
    <w:lvl w:ilvl="0" w:tplc="ED462198">
      <w:start w:val="1"/>
      <w:numFmt w:val="lowerRoman"/>
      <w:lvlText w:val="(%1)"/>
      <w:lvlJc w:val="left"/>
      <w:pPr>
        <w:ind w:left="1137" w:hanging="360"/>
      </w:pPr>
      <w:rPr>
        <w:rFonts w:ascii="Times New Roman" w:eastAsia="Georgia" w:hAnsi="Times New Roman" w:cs="Times New Roman"/>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5A"/>
    <w:rsid w:val="000D7B9B"/>
    <w:rsid w:val="0013217D"/>
    <w:rsid w:val="00254B4D"/>
    <w:rsid w:val="004F662B"/>
    <w:rsid w:val="006323CD"/>
    <w:rsid w:val="006B3BBD"/>
    <w:rsid w:val="0092552E"/>
    <w:rsid w:val="009267EB"/>
    <w:rsid w:val="00BB2547"/>
    <w:rsid w:val="00BC4B5A"/>
    <w:rsid w:val="00C261F0"/>
    <w:rsid w:val="00D75F34"/>
    <w:rsid w:val="00E07649"/>
    <w:rsid w:val="00ED0DC2"/>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BC4B5A"/>
    <w:pPr>
      <w:spacing w:after="0" w:line="240" w:lineRule="auto"/>
    </w:pPr>
    <w:rPr>
      <w:sz w:val="20"/>
      <w:szCs w:val="20"/>
    </w:rPr>
  </w:style>
  <w:style w:type="character" w:customStyle="1" w:styleId="aa">
    <w:name w:val="Текст сноски Знак"/>
    <w:basedOn w:val="a0"/>
    <w:link w:val="a9"/>
    <w:uiPriority w:val="99"/>
    <w:semiHidden/>
    <w:rsid w:val="00BC4B5A"/>
    <w:rPr>
      <w:sz w:val="20"/>
      <w:szCs w:val="20"/>
    </w:rPr>
  </w:style>
  <w:style w:type="character" w:styleId="ab">
    <w:name w:val="footnote reference"/>
    <w:basedOn w:val="a0"/>
    <w:semiHidden/>
    <w:rsid w:val="00BC4B5A"/>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BC4B5A"/>
    <w:pPr>
      <w:spacing w:after="0" w:line="240" w:lineRule="auto"/>
    </w:pPr>
    <w:rPr>
      <w:sz w:val="20"/>
      <w:szCs w:val="20"/>
    </w:rPr>
  </w:style>
  <w:style w:type="character" w:customStyle="1" w:styleId="aa">
    <w:name w:val="Текст сноски Знак"/>
    <w:basedOn w:val="a0"/>
    <w:link w:val="a9"/>
    <w:uiPriority w:val="99"/>
    <w:semiHidden/>
    <w:rsid w:val="00BC4B5A"/>
    <w:rPr>
      <w:sz w:val="20"/>
      <w:szCs w:val="20"/>
    </w:rPr>
  </w:style>
  <w:style w:type="character" w:styleId="ab">
    <w:name w:val="footnote reference"/>
    <w:basedOn w:val="a0"/>
    <w:semiHidden/>
    <w:rsid w:val="00BC4B5A"/>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3771</Words>
  <Characters>21495</Characters>
  <Application>Microsoft Office Word</Application>
  <DocSecurity>0</DocSecurity>
  <Lines>179</Lines>
  <Paragraphs>50</Paragraphs>
  <ScaleCrop>false</ScaleCrop>
  <Company>diakov.net</Company>
  <LinksUpToDate>false</LinksUpToDate>
  <CharactersWithSpaces>25216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2020-06-28T09:32:00Z</dcterms:created>
  <dcterms:modified xsi:type="dcterms:W3CDTF">2021-05-12T15:15:00Z</dcterms:modified>
</cp:coreProperties>
</file>