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D5" w:rsidRPr="000902D5" w:rsidRDefault="000902D5" w:rsidP="000902D5">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0902D5" w:rsidRPr="000902D5" w:rsidRDefault="000902D5" w:rsidP="000902D5">
      <w:pPr>
        <w:widowControl w:val="0"/>
        <w:spacing w:after="0" w:line="240" w:lineRule="auto"/>
        <w:jc w:val="center"/>
        <w:outlineLvl w:val="0"/>
        <w:rPr>
          <w:rFonts w:eastAsia="Times New Roman"/>
          <w:b/>
          <w:caps/>
          <w:snapToGrid w:val="0"/>
          <w:sz w:val="28"/>
          <w:szCs w:val="24"/>
          <w:lang w:val="en-US" w:eastAsia="en-US"/>
        </w:rPr>
      </w:pPr>
    </w:p>
    <w:p w:rsidR="000902D5" w:rsidRPr="000902D5" w:rsidRDefault="000902D5" w:rsidP="000902D5">
      <w:pPr>
        <w:widowControl w:val="0"/>
        <w:spacing w:after="0" w:line="240" w:lineRule="auto"/>
        <w:jc w:val="center"/>
        <w:outlineLvl w:val="0"/>
        <w:rPr>
          <w:rFonts w:eastAsia="Times New Roman"/>
          <w:b/>
          <w:caps/>
          <w:snapToGrid w:val="0"/>
          <w:sz w:val="28"/>
          <w:szCs w:val="24"/>
          <w:lang w:val="en-US" w:eastAsia="en-US"/>
        </w:rPr>
      </w:pPr>
      <w:r w:rsidRPr="000902D5">
        <w:rPr>
          <w:rFonts w:eastAsia="Times New Roman"/>
          <w:b/>
          <w:caps/>
          <w:snapToGrid w:val="0"/>
          <w:sz w:val="28"/>
          <w:szCs w:val="24"/>
          <w:lang w:val="en-US" w:eastAsia="en-US"/>
        </w:rPr>
        <w:t>Parameter Sensitivity Analysis of Isolated Bearings of Continuous Girder Bridge under Far-field Long Period Ground Motion</w:t>
      </w:r>
    </w:p>
    <w:p w:rsidR="000902D5" w:rsidRPr="000902D5" w:rsidRDefault="000902D5" w:rsidP="000902D5">
      <w:pPr>
        <w:widowControl w:val="0"/>
        <w:suppressAutoHyphens/>
        <w:spacing w:after="0" w:line="240" w:lineRule="auto"/>
        <w:jc w:val="center"/>
        <w:rPr>
          <w:rFonts w:eastAsia="Times New Roman"/>
          <w:snapToGrid w:val="0"/>
          <w:szCs w:val="24"/>
          <w:lang w:val="en-US" w:eastAsia="en-US"/>
        </w:rPr>
      </w:pPr>
    </w:p>
    <w:p w:rsidR="000902D5" w:rsidRPr="000902D5" w:rsidRDefault="000902D5" w:rsidP="000902D5">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0902D5">
        <w:rPr>
          <w:rFonts w:eastAsia="Times New Roman"/>
          <w:b/>
          <w:snapToGrid w:val="0"/>
          <w:color w:val="333333"/>
          <w:sz w:val="28"/>
          <w:szCs w:val="28"/>
          <w:shd w:val="clear" w:color="auto" w:fill="FFFFFF"/>
          <w:lang w:val="en-US" w:eastAsia="en-US"/>
        </w:rPr>
        <w:t xml:space="preserve">DOI </w:t>
      </w:r>
      <w:r w:rsidR="00B856DE">
        <w:rPr>
          <w:rFonts w:eastAsia="Times New Roman"/>
          <w:b/>
          <w:snapToGrid w:val="0"/>
          <w:color w:val="333333"/>
          <w:sz w:val="28"/>
          <w:szCs w:val="28"/>
          <w:shd w:val="clear" w:color="auto" w:fill="FFFFFF"/>
          <w:lang w:val="en-US" w:eastAsia="en-US"/>
        </w:rPr>
        <w:t>10.37153</w:t>
      </w:r>
      <w:r w:rsidRPr="000902D5">
        <w:rPr>
          <w:rFonts w:eastAsia="Times New Roman"/>
          <w:b/>
          <w:snapToGrid w:val="0"/>
          <w:color w:val="333333"/>
          <w:sz w:val="28"/>
          <w:szCs w:val="28"/>
          <w:shd w:val="clear" w:color="auto" w:fill="FFFFFF"/>
          <w:lang w:val="en-US" w:eastAsia="en-US"/>
        </w:rPr>
        <w:t>/2686-7974-2019-16-489-499</w:t>
      </w:r>
    </w:p>
    <w:p w:rsidR="000902D5" w:rsidRPr="000902D5" w:rsidRDefault="000902D5" w:rsidP="000902D5">
      <w:pPr>
        <w:widowControl w:val="0"/>
        <w:suppressAutoHyphens/>
        <w:spacing w:after="0" w:line="240" w:lineRule="auto"/>
        <w:jc w:val="both"/>
        <w:rPr>
          <w:rFonts w:eastAsia="Times New Roman"/>
          <w:snapToGrid w:val="0"/>
          <w:szCs w:val="24"/>
          <w:lang w:val="en-US" w:eastAsia="en-US"/>
        </w:rPr>
      </w:pPr>
    </w:p>
    <w:p w:rsidR="000902D5" w:rsidRPr="000902D5" w:rsidRDefault="000902D5" w:rsidP="000902D5">
      <w:pPr>
        <w:widowControl w:val="0"/>
        <w:suppressAutoHyphens/>
        <w:spacing w:after="0" w:line="240" w:lineRule="auto"/>
        <w:jc w:val="both"/>
        <w:rPr>
          <w:rFonts w:eastAsia="Times New Roman"/>
          <w:snapToGrid w:val="0"/>
          <w:szCs w:val="24"/>
          <w:lang w:val="en-US" w:eastAsia="en-US"/>
        </w:rPr>
      </w:pPr>
    </w:p>
    <w:p w:rsidR="000902D5" w:rsidRPr="000902D5" w:rsidRDefault="000902D5" w:rsidP="000902D5">
      <w:pPr>
        <w:widowControl w:val="0"/>
        <w:suppressAutoHyphens/>
        <w:spacing w:after="0" w:line="240" w:lineRule="auto"/>
        <w:jc w:val="center"/>
        <w:rPr>
          <w:rFonts w:eastAsia="Times New Roman"/>
          <w:szCs w:val="24"/>
          <w:lang w:val="en-US" w:eastAsia="en-US"/>
        </w:rPr>
      </w:pPr>
      <w:r w:rsidRPr="000902D5">
        <w:rPr>
          <w:rFonts w:eastAsia="Times New Roman"/>
          <w:szCs w:val="24"/>
          <w:lang w:val="en-US" w:eastAsia="en-US"/>
        </w:rPr>
        <w:t>Xuehong L</w:t>
      </w:r>
      <w:r w:rsidRPr="000902D5">
        <w:rPr>
          <w:rFonts w:eastAsia="SimSun" w:hint="eastAsia"/>
          <w:szCs w:val="24"/>
          <w:lang w:val="en-US" w:eastAsia="zh-CN"/>
        </w:rPr>
        <w:t>I</w:t>
      </w:r>
      <w:r w:rsidRPr="000902D5">
        <w:rPr>
          <w:rFonts w:eastAsia="Times New Roman"/>
          <w:szCs w:val="24"/>
          <w:vertAlign w:val="superscript"/>
          <w:lang w:val="en-US" w:eastAsia="en-US"/>
        </w:rPr>
        <w:footnoteReference w:id="1"/>
      </w:r>
      <w:r w:rsidRPr="000902D5">
        <w:rPr>
          <w:rFonts w:eastAsia="Times New Roman"/>
          <w:szCs w:val="24"/>
          <w:lang w:val="en-US" w:eastAsia="en-US"/>
        </w:rPr>
        <w:t>, Xiuli XU</w:t>
      </w:r>
      <w:r w:rsidRPr="000902D5">
        <w:rPr>
          <w:rFonts w:eastAsia="Times New Roman"/>
          <w:szCs w:val="24"/>
          <w:vertAlign w:val="superscript"/>
          <w:lang w:val="en-US" w:eastAsia="en-US"/>
        </w:rPr>
        <w:footnoteReference w:id="2"/>
      </w:r>
      <w:r w:rsidRPr="000902D5">
        <w:rPr>
          <w:rFonts w:eastAsia="Times New Roman"/>
          <w:szCs w:val="24"/>
          <w:lang w:val="en-US" w:eastAsia="en-US"/>
        </w:rPr>
        <w:t>, Zhijun LI</w:t>
      </w:r>
      <w:r w:rsidRPr="000902D5">
        <w:rPr>
          <w:rFonts w:eastAsia="Times New Roman"/>
          <w:szCs w:val="24"/>
          <w:vertAlign w:val="superscript"/>
          <w:lang w:val="en-US" w:eastAsia="en-US"/>
        </w:rPr>
        <w:footnoteReference w:id="3"/>
      </w:r>
      <w:r w:rsidRPr="000902D5">
        <w:rPr>
          <w:rFonts w:eastAsia="Times New Roman"/>
          <w:szCs w:val="24"/>
          <w:lang w:val="en-US" w:eastAsia="en-US"/>
        </w:rPr>
        <w:t>, Weiguo HUANG</w:t>
      </w:r>
      <w:r w:rsidRPr="000902D5">
        <w:rPr>
          <w:rFonts w:eastAsia="Times New Roman"/>
          <w:szCs w:val="24"/>
          <w:vertAlign w:val="superscript"/>
          <w:lang w:val="en-US" w:eastAsia="en-US"/>
        </w:rPr>
        <w:footnoteReference w:id="4"/>
      </w:r>
      <w:r w:rsidRPr="000902D5">
        <w:rPr>
          <w:rFonts w:eastAsia="Times New Roman"/>
          <w:szCs w:val="24"/>
          <w:lang w:val="en-US" w:eastAsia="en-US"/>
        </w:rPr>
        <w:t>, Mengmeng CHENG</w:t>
      </w:r>
      <w:r w:rsidRPr="000902D5">
        <w:rPr>
          <w:rFonts w:eastAsia="Times New Roman"/>
          <w:szCs w:val="24"/>
          <w:vertAlign w:val="superscript"/>
          <w:lang w:val="en-US" w:eastAsia="en-US"/>
        </w:rPr>
        <w:footnoteReference w:id="5"/>
      </w:r>
    </w:p>
    <w:p w:rsidR="000902D5" w:rsidRPr="000902D5" w:rsidRDefault="000902D5" w:rsidP="000902D5">
      <w:pPr>
        <w:widowControl w:val="0"/>
        <w:tabs>
          <w:tab w:val="left" w:pos="-720"/>
        </w:tabs>
        <w:suppressAutoHyphens/>
        <w:spacing w:after="0" w:line="240" w:lineRule="auto"/>
        <w:jc w:val="both"/>
        <w:rPr>
          <w:rFonts w:eastAsia="Times New Roman"/>
          <w:snapToGrid w:val="0"/>
          <w:szCs w:val="24"/>
          <w:lang w:val="en-US" w:eastAsia="en-US"/>
        </w:rPr>
      </w:pPr>
    </w:p>
    <w:p w:rsidR="000902D5" w:rsidRPr="000902D5" w:rsidRDefault="000902D5" w:rsidP="000902D5">
      <w:pPr>
        <w:widowControl w:val="0"/>
        <w:tabs>
          <w:tab w:val="left" w:pos="-720"/>
        </w:tabs>
        <w:suppressAutoHyphens/>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outlineLvl w:val="0"/>
        <w:rPr>
          <w:rFonts w:eastAsia="Times New Roman"/>
          <w:b/>
          <w:caps/>
          <w:snapToGrid w:val="0"/>
          <w:kern w:val="28"/>
          <w:szCs w:val="24"/>
          <w:lang w:val="en-US" w:eastAsia="en-US"/>
        </w:rPr>
      </w:pPr>
      <w:r w:rsidRPr="000902D5">
        <w:rPr>
          <w:rFonts w:eastAsia="Times New Roman"/>
          <w:b/>
          <w:caps/>
          <w:snapToGrid w:val="0"/>
          <w:kern w:val="28"/>
          <w:szCs w:val="24"/>
          <w:lang w:val="en-US" w:eastAsia="en-US"/>
        </w:rPr>
        <w:t>ABSTRACT</w:t>
      </w:r>
    </w:p>
    <w:p w:rsidR="000902D5" w:rsidRPr="000902D5" w:rsidRDefault="000902D5" w:rsidP="000902D5">
      <w:pPr>
        <w:widowControl w:val="0"/>
        <w:suppressAutoHyphens/>
        <w:spacing w:after="0" w:line="240" w:lineRule="auto"/>
        <w:jc w:val="both"/>
        <w:rPr>
          <w:rFonts w:eastAsia="Times New Roman"/>
          <w:sz w:val="20"/>
          <w:szCs w:val="24"/>
          <w:lang w:val="en-US" w:eastAsia="en-US"/>
        </w:rPr>
      </w:pPr>
    </w:p>
    <w:p w:rsidR="000902D5" w:rsidRPr="000902D5" w:rsidRDefault="000902D5" w:rsidP="000902D5">
      <w:pPr>
        <w:widowControl w:val="0"/>
        <w:suppressAutoHyphens/>
        <w:spacing w:after="0" w:line="240" w:lineRule="auto"/>
        <w:jc w:val="both"/>
        <w:rPr>
          <w:rFonts w:eastAsia="Times New Roman"/>
          <w:sz w:val="20"/>
          <w:szCs w:val="24"/>
          <w:lang w:val="en-US" w:eastAsia="en-US"/>
        </w:rPr>
      </w:pPr>
      <w:r w:rsidRPr="000902D5">
        <w:rPr>
          <w:rFonts w:eastAsia="Times New Roman"/>
          <w:sz w:val="20"/>
          <w:szCs w:val="24"/>
          <w:lang w:val="en-US" w:eastAsia="en-US"/>
        </w:rPr>
        <w:t>With the rising in the number of isolated bridge and the adverse effects under the far-field long-period ground motion appearing, the seismic response of isolated bridge under the far-field long-period ground motion has attracted more and more attention. In this paper, some parameters related to the seismic response characteristics of the isolated bridge, such as bearing shear, bearing deformation, displacement at pier top and pier bottom shear, are taken to control the behavior of the isolated bridge. Parameter sensitivity analysis of different isolation devices of continuous girder bridges under far-field long-period ground motion are carried out. Conclusions are as follows: as the increasing of the yield force of bearing, the longitudinal seismic response of bridge increases and tends to be stable, while the transverse seismic response of bridge decreases first and then increases; as the increasing of the initial shear stiffness and hardening ratio of isolated bearings, the seismic response of bridge increases; as the increasing of the effective horizontal stiffness of bearings, bridge seismic response increases first and then decreases. According to the study of bridges that are like the bridges in supported project, the optimal parameters of isolated bearings in bearing design are provided as the initial shear stiffness is 1.37E+04 KN/m, yield force is between 100 KN and 300 KN, and the hardening ratio is between 0.08 and 0.15.</w:t>
      </w:r>
    </w:p>
    <w:p w:rsidR="000902D5" w:rsidRPr="000902D5" w:rsidRDefault="000902D5" w:rsidP="000902D5">
      <w:pPr>
        <w:widowControl w:val="0"/>
        <w:suppressAutoHyphens/>
        <w:spacing w:after="0" w:line="240" w:lineRule="auto"/>
        <w:jc w:val="both"/>
        <w:rPr>
          <w:rFonts w:eastAsia="Times New Roman"/>
          <w:sz w:val="20"/>
          <w:szCs w:val="24"/>
          <w:lang w:val="en-US" w:eastAsia="en-US"/>
        </w:rPr>
      </w:pPr>
    </w:p>
    <w:p w:rsidR="000902D5" w:rsidRPr="000902D5" w:rsidRDefault="000902D5" w:rsidP="000902D5">
      <w:pPr>
        <w:widowControl w:val="0"/>
        <w:suppressAutoHyphens/>
        <w:spacing w:after="0" w:line="240" w:lineRule="auto"/>
        <w:jc w:val="both"/>
        <w:rPr>
          <w:rFonts w:eastAsia="Times New Roman"/>
          <w:i/>
          <w:sz w:val="20"/>
          <w:szCs w:val="24"/>
          <w:lang w:val="en-US" w:eastAsia="en-US"/>
        </w:rPr>
      </w:pPr>
      <w:r w:rsidRPr="000902D5">
        <w:rPr>
          <w:rFonts w:eastAsia="Times New Roman"/>
          <w:i/>
          <w:sz w:val="20"/>
          <w:szCs w:val="24"/>
          <w:lang w:val="en-US" w:eastAsia="en-US"/>
        </w:rPr>
        <w:t>Keywords: Far-field Long-period Ground Motion; Isolated Bridge; Bearing Parameters; Sensitivity Analysis; Seismic Response</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 xml:space="preserve">1. INTRODUCTION </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For the gradual increase of isolated bridge, the adverse effects could appear under the far-field long-period ground motion. The ability to resist earthquakes of seismic isolation bridge attracted more and more attention under the far-field long-period ground motion. Under the long-period earthquakes, for example, near field pulse-type ground motion and far-field long-period ground motion, the isolated structure may be adversely affected (</w:t>
      </w:r>
      <w:r w:rsidRPr="000902D5">
        <w:rPr>
          <w:rFonts w:eastAsia="SimSun"/>
          <w:snapToGrid w:val="0"/>
          <w:sz w:val="20"/>
          <w:szCs w:val="20"/>
          <w:lang w:val="en-US" w:eastAsia="zh-CN"/>
        </w:rPr>
        <w:t>Liu X. 2018)</w:t>
      </w:r>
      <w:r w:rsidRPr="000902D5">
        <w:rPr>
          <w:rFonts w:eastAsia="Times New Roman"/>
          <w:snapToGrid w:val="0"/>
          <w:szCs w:val="24"/>
          <w:lang w:val="en-US" w:eastAsia="en-US"/>
        </w:rPr>
        <w:t xml:space="preserve">. The isolated structure has a long-period of natural period and is susceptible to the long-period ground motion. Therefore, its seismic performance under long- period ground motion is worth studying. Wang Yanan, et al., took a base- isolated structure as an example based on the code for seismic design, compared the seismic response of the structure under the seismic code ground motion and far-field long-period earthquakes, and the influences of long-period ground motion to the seismic response of structures was studied. The results show that the probability of isolated structure damaging under long-period ground motion is much greater than that of ordinary ground motion with the same peak ground acceleration </w:t>
      </w:r>
      <w:r w:rsidRPr="000902D5">
        <w:rPr>
          <w:rFonts w:eastAsia="Times New Roman"/>
          <w:snapToGrid w:val="0"/>
          <w:szCs w:val="24"/>
          <w:lang w:val="en-US" w:eastAsia="en-US"/>
        </w:rPr>
        <w:lastRenderedPageBreak/>
        <w:t>(PGA). The ratio of peak ground velocity (PGV) and peak ground acceleration, PGV/PGA, under far-field long-period ground motion is greater than that under ordinary ground motion, and these PGAs and PGVs show irregularity. For the isolated continuous beam bridge, the isolation performance degrades under long-period ground motion (</w:t>
      </w:r>
      <w:r w:rsidRPr="000902D5">
        <w:rPr>
          <w:rFonts w:eastAsia="SimSun" w:hint="eastAsia"/>
          <w:snapToGrid w:val="0"/>
          <w:sz w:val="20"/>
          <w:szCs w:val="20"/>
          <w:lang w:val="en-US" w:eastAsia="zh-CN"/>
        </w:rPr>
        <w:t>W</w:t>
      </w:r>
      <w:r w:rsidRPr="000902D5">
        <w:rPr>
          <w:rFonts w:eastAsia="SimSun"/>
          <w:snapToGrid w:val="0"/>
          <w:sz w:val="20"/>
          <w:szCs w:val="20"/>
          <w:lang w:val="en-US" w:eastAsia="zh-CN"/>
        </w:rPr>
        <w:t xml:space="preserve">ang Y, Du Y, Hu G et al. 2018, </w:t>
      </w:r>
      <w:r w:rsidRPr="000902D5">
        <w:rPr>
          <w:rFonts w:eastAsia="SimSun" w:hint="eastAsia"/>
          <w:snapToGrid w:val="0"/>
          <w:sz w:val="20"/>
          <w:szCs w:val="20"/>
          <w:lang w:val="en-US" w:eastAsia="zh-CN"/>
        </w:rPr>
        <w:t>S</w:t>
      </w:r>
      <w:r w:rsidRPr="000902D5">
        <w:rPr>
          <w:rFonts w:eastAsia="SimSun"/>
          <w:snapToGrid w:val="0"/>
          <w:sz w:val="20"/>
          <w:szCs w:val="20"/>
          <w:lang w:val="en-US" w:eastAsia="zh-CN"/>
        </w:rPr>
        <w:t xml:space="preserve">un Y, Chen T, Zhuo W et al. 2016, </w:t>
      </w:r>
      <w:r w:rsidRPr="000902D5">
        <w:rPr>
          <w:rFonts w:eastAsia="SimSun" w:hint="eastAsia"/>
          <w:snapToGrid w:val="0"/>
          <w:sz w:val="20"/>
          <w:szCs w:val="20"/>
          <w:lang w:val="en-US" w:eastAsia="zh-CN"/>
        </w:rPr>
        <w:t>W</w:t>
      </w:r>
      <w:r w:rsidRPr="000902D5">
        <w:rPr>
          <w:rFonts w:eastAsia="SimSun"/>
          <w:snapToGrid w:val="0"/>
          <w:sz w:val="20"/>
          <w:szCs w:val="20"/>
          <w:lang w:val="en-US" w:eastAsia="zh-CN"/>
        </w:rPr>
        <w:t>ang S. 2017).</w:t>
      </w:r>
      <w:r w:rsidRPr="000902D5">
        <w:rPr>
          <w:rFonts w:eastAsia="Times New Roman"/>
          <w:snapToGrid w:val="0"/>
          <w:szCs w:val="24"/>
          <w:lang w:val="en-US" w:eastAsia="en-US"/>
        </w:rPr>
        <w:t xml:space="preserve"> At present, many researches confirm that the isolated structure will be damaged by near-field pulse-type ground motion, but there are few studies focused on the adverse effects of long-field long-range ground motion on the isolated structure. It is particularly important to carry out relevant research in the case that the destructiveness of far-field long-period earthquake damage is confirmed.</w:t>
      </w: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A long-field long-period ground motion is the ground motion with the long-period as the main component, which is longer than the ordinary ground motion. From the analysis of earthquake record, the characteristics of far-field ground motion mainly include relatively low intensity, long duration, large displacement and long-period components of ground motion (</w:t>
      </w:r>
      <w:r w:rsidRPr="000902D5">
        <w:rPr>
          <w:rFonts w:eastAsia="SimSun" w:hint="eastAsia"/>
          <w:snapToGrid w:val="0"/>
          <w:sz w:val="20"/>
          <w:szCs w:val="20"/>
          <w:lang w:val="en-US" w:eastAsia="zh-CN"/>
        </w:rPr>
        <w:t>X</w:t>
      </w:r>
      <w:r w:rsidRPr="000902D5">
        <w:rPr>
          <w:rFonts w:eastAsia="SimSun"/>
          <w:snapToGrid w:val="0"/>
          <w:sz w:val="20"/>
          <w:szCs w:val="20"/>
          <w:lang w:val="en-US" w:eastAsia="zh-CN"/>
        </w:rPr>
        <w:t>u L, Yu H, Cao W et al. 2010)</w:t>
      </w:r>
      <w:r w:rsidRPr="000902D5">
        <w:rPr>
          <w:rFonts w:eastAsia="Times New Roman"/>
          <w:snapToGrid w:val="0"/>
          <w:szCs w:val="24"/>
          <w:lang w:val="en-US" w:eastAsia="en-US"/>
        </w:rPr>
        <w:t>. In recent years, several great earthquakes, such as the 1989 Loma Prieta earthquake in the United States, caused severe damage to the viaduct in the northwestern of San Francisco, which was nearly 100 km from the epicenter. In 2008, the Wenchuan earthquake affected the whole China to different degree. The earthquake in northeastern Japan in 2011 caused a certain degree of bending at the top of the Tokyo Tower at 380 km from the centrum (</w:t>
      </w:r>
      <w:r w:rsidRPr="000902D5">
        <w:rPr>
          <w:rFonts w:eastAsia="Times New Roman"/>
          <w:snapToGrid w:val="0"/>
          <w:sz w:val="20"/>
          <w:szCs w:val="20"/>
          <w:lang w:val="en-US" w:eastAsia="en-US"/>
        </w:rPr>
        <w:t>Beck J. L</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w:t>
      </w:r>
      <w:r w:rsidRPr="000902D5">
        <w:rPr>
          <w:rFonts w:eastAsia="Times New Roman"/>
          <w:snapToGrid w:val="0"/>
          <w:sz w:val="20"/>
          <w:szCs w:val="20"/>
          <w:lang w:val="en-US" w:eastAsia="en-US"/>
        </w:rPr>
        <w:t>Hall J. F</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1986, </w:t>
      </w:r>
      <w:r w:rsidRPr="000902D5">
        <w:rPr>
          <w:rFonts w:eastAsia="Times New Roman"/>
          <w:snapToGrid w:val="0"/>
          <w:sz w:val="20"/>
          <w:szCs w:val="20"/>
          <w:lang w:val="en-US" w:eastAsia="en-US"/>
        </w:rPr>
        <w:t>Celebi M</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w:t>
      </w:r>
      <w:r w:rsidRPr="000902D5">
        <w:rPr>
          <w:rFonts w:eastAsia="Times New Roman"/>
          <w:snapToGrid w:val="0"/>
          <w:sz w:val="20"/>
          <w:szCs w:val="20"/>
          <w:lang w:val="en-US" w:eastAsia="en-US"/>
        </w:rPr>
        <w:t>Prince J</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w:t>
      </w:r>
      <w:r w:rsidRPr="000902D5">
        <w:rPr>
          <w:rFonts w:eastAsia="Times New Roman"/>
          <w:snapToGrid w:val="0"/>
          <w:sz w:val="20"/>
          <w:szCs w:val="20"/>
          <w:lang w:val="en-US" w:eastAsia="en-US"/>
        </w:rPr>
        <w:t>Dietal C et al</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1987, </w:t>
      </w:r>
      <w:r w:rsidRPr="000902D5">
        <w:rPr>
          <w:rFonts w:eastAsia="Times New Roman"/>
          <w:snapToGrid w:val="0"/>
          <w:sz w:val="20"/>
          <w:szCs w:val="20"/>
          <w:lang w:val="en-US" w:eastAsia="en-US"/>
        </w:rPr>
        <w:t>Boore D. M</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2001, </w:t>
      </w:r>
      <w:r w:rsidRPr="000902D5">
        <w:rPr>
          <w:rFonts w:eastAsia="Times New Roman"/>
          <w:snapToGrid w:val="0"/>
          <w:sz w:val="20"/>
          <w:szCs w:val="20"/>
          <w:lang w:val="en-US" w:eastAsia="en-US"/>
        </w:rPr>
        <w:t>Koketsu K</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w:t>
      </w:r>
      <w:r w:rsidRPr="000902D5">
        <w:rPr>
          <w:rFonts w:eastAsia="Times New Roman"/>
          <w:snapToGrid w:val="0"/>
          <w:sz w:val="20"/>
          <w:szCs w:val="20"/>
          <w:lang w:val="en-US" w:eastAsia="en-US"/>
        </w:rPr>
        <w:t>Hatayama K et al</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2005, </w:t>
      </w:r>
      <w:r w:rsidRPr="000902D5">
        <w:rPr>
          <w:rFonts w:eastAsia="Times New Roman"/>
          <w:snapToGrid w:val="0"/>
          <w:sz w:val="20"/>
          <w:szCs w:val="20"/>
          <w:lang w:val="en-US" w:eastAsia="en-US"/>
        </w:rPr>
        <w:t>Maeda T</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w:t>
      </w:r>
      <w:r w:rsidRPr="000902D5">
        <w:rPr>
          <w:rFonts w:eastAsia="Times New Roman"/>
          <w:snapToGrid w:val="0"/>
          <w:sz w:val="20"/>
          <w:szCs w:val="20"/>
          <w:lang w:val="en-US" w:eastAsia="en-US"/>
        </w:rPr>
        <w:t>Sasatani T</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2008, Zhou F, Cui H, Shigetaka ABE et al. 2012</w:t>
      </w:r>
      <w:r w:rsidRPr="000902D5">
        <w:rPr>
          <w:rFonts w:eastAsia="Times New Roman"/>
          <w:snapToGrid w:val="0"/>
          <w:szCs w:val="24"/>
          <w:lang w:val="en-US" w:eastAsia="en-US"/>
        </w:rPr>
        <w:t>). The destructive effect of far-field earthquake on structures has also attracted more and more attention (</w:t>
      </w:r>
      <w:r w:rsidRPr="000902D5">
        <w:rPr>
          <w:rFonts w:eastAsia="Times New Roman"/>
          <w:snapToGrid w:val="0"/>
          <w:sz w:val="20"/>
          <w:szCs w:val="20"/>
          <w:lang w:val="en-US" w:eastAsia="en-US"/>
        </w:rPr>
        <w:t>Fukuwa N</w:t>
      </w:r>
      <w:r w:rsidRPr="000902D5">
        <w:rPr>
          <w:rFonts w:eastAsia="SimSun" w:hint="eastAsia"/>
          <w:snapToGrid w:val="0"/>
          <w:sz w:val="20"/>
          <w:szCs w:val="20"/>
          <w:lang w:val="en-US" w:eastAsia="zh-CN"/>
        </w:rPr>
        <w:t>.</w:t>
      </w:r>
      <w:r w:rsidRPr="000902D5">
        <w:rPr>
          <w:rFonts w:eastAsia="SimSun"/>
          <w:snapToGrid w:val="0"/>
          <w:sz w:val="20"/>
          <w:szCs w:val="20"/>
          <w:lang w:val="en-US" w:eastAsia="zh-CN"/>
        </w:rPr>
        <w:t xml:space="preserve"> 2008)</w:t>
      </w:r>
      <w:r w:rsidRPr="000902D5">
        <w:rPr>
          <w:rFonts w:eastAsia="Times New Roman"/>
          <w:snapToGrid w:val="0"/>
          <w:szCs w:val="24"/>
          <w:lang w:val="en-US" w:eastAsia="en-US"/>
        </w:rPr>
        <w:t>. The continuous beam bridge has the outstanding advantages of high structural rigidity, small deformation of the bridge deck, good dynamic performance, and smooth deformation curve and is god for high speed driving, and its mechanical performance is superior to other bridges. With the increase of road grades and the promulgation of China’s new bridge design codes, the engineering circles have higher and higher requirements for seismic performance of bridges, many in-service bridges have been unable to meet seismic requirements. Most of these bridges use seismic isolation devices and the superstructure and bearings are separated from the seismic ground motion which reduces the seismic force and energy greatly. Therefore, the seismic isolations are widely used in continuous beam bridges. As LRBs are used more and more in continuous beam bridges, proper parameters of LRB need to be selected to maximize its isolation performance, especially in the long-field long-period ground motion. In the bridge seismic design process, how to effectively avoid damage to the isolated bridges is an important issue to be solved.</w:t>
      </w: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The dynamic performance of the lead rubber bearing (LRB) under earthquakes can be mainly described by the following parameters, yield force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initial stiffness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post-yield stiffness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d</w:t>
      </w:r>
      <w:r w:rsidRPr="000902D5">
        <w:rPr>
          <w:rFonts w:eastAsia="Times New Roman"/>
          <w:snapToGrid w:val="0"/>
          <w:szCs w:val="24"/>
          <w:lang w:val="en-US" w:eastAsia="en-US"/>
        </w:rPr>
        <w:t xml:space="preserve"> and the hardening ratio α (the ratio of the post-yield stiffness to the initial stiffness, i.e. </w:t>
      </w:r>
      <w:r w:rsidRPr="000902D5">
        <w:rPr>
          <w:rFonts w:eastAsia="Times New Roman"/>
          <w:i/>
          <w:snapToGrid w:val="0"/>
          <w:szCs w:val="24"/>
          <w:lang w:val="en-US" w:eastAsia="en-US"/>
        </w:rPr>
        <w:t>α</w:t>
      </w:r>
      <w:r w:rsidRPr="000902D5">
        <w:rPr>
          <w:rFonts w:eastAsia="Times New Roman"/>
          <w:snapToGrid w:val="0"/>
          <w:szCs w:val="24"/>
          <w:lang w:val="en-US" w:eastAsia="en-US"/>
        </w:rPr>
        <w:t>=</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d</w:t>
      </w:r>
      <w:r w:rsidRPr="000902D5">
        <w:rPr>
          <w:rFonts w:eastAsia="Times New Roman"/>
          <w:snapToGrid w:val="0"/>
          <w:szCs w:val="24"/>
          <w:lang w:val="en-US" w:eastAsia="en-US"/>
        </w:rPr>
        <w:t>/</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This paper mainly analyzes the sensitivity of the ground motion response of the bridge structure to the main parameters of the LRB, based on it, a reasonable seismic isolation system and control measures and design suggestions are proposed for the concrete continuous beam bridge.</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2. Construction of engineering and finite element model</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A three-span concrete continuous girder bridge of a certain expressway is studied, which span is 30m. Three different links are considered for analysis. The main girder is a composite box girder, and the cover girder is 12m long, 1.6m wide and 1.5m high. Double column piers are adopted with a diameter of 1.4m and a height of 10m. The concrete strength of the beam and the pier are C40 and C30, respectively. The longitudinal reinforcement is HRB335. The schematic diagram of bridge piers and foundation is shown in Figure 1. The influence of piles is not considered in this study. A type of bearing of LRB600-120-160 was used in the bridge. The yield shearing force of the bearing is 90.2 KN. The initial stiffness and the post-yield stiffness are 9.061 KN/m and 0.697 KN/m, respectively. The main girder and pier of the continuous beam bridge are simulated with 3D beam element, and the support is simulated by LINK element in the software ANSYS. The finite element model is shown in Figure 2.</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lastRenderedPageBreak/>
        <w:drawing>
          <wp:inline distT="0" distB="0" distL="0" distR="0" wp14:anchorId="5DEA788B" wp14:editId="071F6309">
            <wp:extent cx="3327400" cy="21590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7400" cy="215900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4"/>
          <w:lang w:val="en-US" w:eastAsia="en-US"/>
        </w:rPr>
      </w:pPr>
      <w:r w:rsidRPr="000902D5">
        <w:rPr>
          <w:rFonts w:eastAsia="Times New Roman"/>
          <w:snapToGrid w:val="0"/>
          <w:sz w:val="20"/>
          <w:szCs w:val="24"/>
          <w:lang w:val="en-US" w:eastAsia="en-US"/>
        </w:rPr>
        <w:t xml:space="preserve">Figure </w:t>
      </w:r>
      <w:r w:rsidRPr="000902D5">
        <w:rPr>
          <w:rFonts w:eastAsia="Times New Roman" w:hint="eastAsia"/>
          <w:snapToGrid w:val="0"/>
          <w:sz w:val="20"/>
          <w:szCs w:val="24"/>
          <w:lang w:val="en-US" w:eastAsia="en-US"/>
        </w:rPr>
        <w:t>1</w:t>
      </w:r>
      <w:r w:rsidRPr="000902D5">
        <w:rPr>
          <w:rFonts w:eastAsia="Times New Roman"/>
          <w:snapToGrid w:val="0"/>
          <w:sz w:val="20"/>
          <w:szCs w:val="24"/>
          <w:lang w:val="en-US" w:eastAsia="en-US"/>
        </w:rPr>
        <w:t>. Schematic diagram of bridge pier and foundation</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 w:val="21"/>
          <w:szCs w:val="21"/>
        </w:rPr>
        <w:drawing>
          <wp:inline distT="0" distB="0" distL="0" distR="0" wp14:anchorId="5A271162" wp14:editId="27D2B086">
            <wp:extent cx="2882900" cy="18034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180340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4"/>
          <w:lang w:val="en-US" w:eastAsia="en-US"/>
        </w:rPr>
      </w:pPr>
      <w:r w:rsidRPr="000902D5">
        <w:rPr>
          <w:rFonts w:eastAsia="Times New Roman"/>
          <w:snapToGrid w:val="0"/>
          <w:sz w:val="20"/>
          <w:szCs w:val="24"/>
          <w:lang w:val="en-US" w:eastAsia="en-US"/>
        </w:rPr>
        <w:t xml:space="preserve">Figure </w:t>
      </w:r>
      <w:r w:rsidRPr="000902D5">
        <w:rPr>
          <w:rFonts w:eastAsia="Times New Roman" w:hint="eastAsia"/>
          <w:snapToGrid w:val="0"/>
          <w:sz w:val="20"/>
          <w:szCs w:val="24"/>
          <w:lang w:val="en-US" w:eastAsia="en-US"/>
        </w:rPr>
        <w:t>2</w:t>
      </w:r>
      <w:r w:rsidRPr="000902D5">
        <w:rPr>
          <w:rFonts w:eastAsia="Times New Roman"/>
          <w:snapToGrid w:val="0"/>
          <w:sz w:val="20"/>
          <w:szCs w:val="24"/>
          <w:lang w:val="en-US" w:eastAsia="en-US"/>
        </w:rPr>
        <w:t>.</w:t>
      </w:r>
      <w:r w:rsidRPr="000902D5">
        <w:rPr>
          <w:rFonts w:eastAsia="Times New Roman" w:hint="eastAsia"/>
          <w:snapToGrid w:val="0"/>
          <w:sz w:val="20"/>
          <w:szCs w:val="24"/>
          <w:lang w:val="en-US" w:eastAsia="en-US"/>
        </w:rPr>
        <w:t xml:space="preserve"> </w:t>
      </w:r>
      <w:r w:rsidRPr="000902D5">
        <w:rPr>
          <w:rFonts w:eastAsia="Times New Roman"/>
          <w:snapToGrid w:val="0"/>
          <w:sz w:val="20"/>
          <w:szCs w:val="24"/>
          <w:lang w:val="en-US" w:eastAsia="en-US"/>
        </w:rPr>
        <w:t>Finite</w:t>
      </w:r>
      <w:r w:rsidRPr="000902D5">
        <w:rPr>
          <w:rFonts w:eastAsia="Times New Roman" w:hint="eastAsia"/>
          <w:snapToGrid w:val="0"/>
          <w:sz w:val="20"/>
          <w:szCs w:val="24"/>
          <w:lang w:val="en-US" w:eastAsia="en-US"/>
        </w:rPr>
        <w:t xml:space="preserve"> element model</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3. Ground motion</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In order to clearly analyze the sensitivity of seismic response to bearing parameters, the following three typical far-field long-period ground motions are selected as the excitation ground motions in this paper. The basic information of the excitation is shown in table 1. The ground motions are input along the longitudinal bridge and the transverse bridge, respectively. In addition, the constant load effect is also taken into consideration</w:t>
      </w:r>
      <w:r w:rsidRPr="000902D5">
        <w:rPr>
          <w:rFonts w:eastAsia="Times New Roman" w:hint="eastAsia"/>
          <w:snapToGrid w:val="0"/>
          <w:szCs w:val="24"/>
          <w:lang w:val="en-US" w:eastAsia="en-US"/>
        </w:rPr>
        <w:t>.</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4"/>
          <w:lang w:val="en-US" w:eastAsia="en-US"/>
        </w:rPr>
      </w:pPr>
      <w:r w:rsidRPr="000902D5">
        <w:rPr>
          <w:rFonts w:eastAsia="Times New Roman"/>
          <w:snapToGrid w:val="0"/>
          <w:sz w:val="20"/>
          <w:szCs w:val="24"/>
          <w:lang w:val="en-US" w:eastAsia="en-US"/>
        </w:rPr>
        <w:t>Table 1. Time</w:t>
      </w:r>
      <w:r w:rsidRPr="000902D5">
        <w:rPr>
          <w:rFonts w:eastAsia="Times New Roman" w:hint="eastAsia"/>
          <w:snapToGrid w:val="0"/>
          <w:sz w:val="20"/>
          <w:szCs w:val="24"/>
          <w:lang w:val="en-US" w:eastAsia="en-US"/>
        </w:rPr>
        <w:t xml:space="preserve"> domain information for three ground motions</w:t>
      </w:r>
    </w:p>
    <w:p w:rsidR="000902D5" w:rsidRPr="000902D5" w:rsidRDefault="000902D5" w:rsidP="000902D5">
      <w:pPr>
        <w:widowControl w:val="0"/>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1509"/>
        <w:gridCol w:w="1936"/>
        <w:gridCol w:w="1083"/>
        <w:gridCol w:w="1510"/>
      </w:tblGrid>
      <w:tr w:rsidR="000902D5" w:rsidRPr="000902D5" w:rsidTr="00B97EDB">
        <w:trPr>
          <w:trHeight w:val="285"/>
          <w:jc w:val="center"/>
        </w:trPr>
        <w:tc>
          <w:tcPr>
            <w:tcW w:w="1509"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eastAsia="Times New Roman"/>
                <w:b/>
                <w:snapToGrid w:val="0"/>
                <w:lang w:val="en-US" w:eastAsia="en-US"/>
              </w:rPr>
              <w:t>Ground motion</w:t>
            </w:r>
          </w:p>
        </w:tc>
        <w:tc>
          <w:tcPr>
            <w:tcW w:w="1936"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eastAsia="Times New Roman"/>
                <w:b/>
                <w:snapToGrid w:val="0"/>
                <w:lang w:val="en-US" w:eastAsia="en-US"/>
              </w:rPr>
              <w:t>Predominant period</w:t>
            </w:r>
          </w:p>
        </w:tc>
        <w:tc>
          <w:tcPr>
            <w:tcW w:w="1083"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eastAsia="Times New Roman"/>
                <w:b/>
                <w:snapToGrid w:val="0"/>
                <w:lang w:val="en-US" w:eastAsia="en-US"/>
              </w:rPr>
              <w:t>Distance</w:t>
            </w:r>
          </w:p>
        </w:tc>
        <w:tc>
          <w:tcPr>
            <w:tcW w:w="1510"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eastAsia="Times New Roman"/>
                <w:b/>
                <w:snapToGrid w:val="0"/>
                <w:lang w:val="en-US" w:eastAsia="en-US"/>
              </w:rPr>
              <w:t>PGA</w:t>
            </w:r>
          </w:p>
        </w:tc>
      </w:tr>
      <w:tr w:rsidR="000902D5" w:rsidRPr="000902D5" w:rsidTr="00B97EDB">
        <w:trPr>
          <w:trHeight w:val="285"/>
          <w:jc w:val="center"/>
        </w:trPr>
        <w:tc>
          <w:tcPr>
            <w:tcW w:w="1509"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ILA048</w:t>
            </w:r>
          </w:p>
        </w:tc>
        <w:tc>
          <w:tcPr>
            <w:tcW w:w="1936"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2.169</w:t>
            </w:r>
          </w:p>
        </w:tc>
        <w:tc>
          <w:tcPr>
            <w:tcW w:w="1083"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100.53</w:t>
            </w:r>
          </w:p>
        </w:tc>
        <w:tc>
          <w:tcPr>
            <w:tcW w:w="1510"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0.090</w:t>
            </w:r>
          </w:p>
        </w:tc>
      </w:tr>
      <w:tr w:rsidR="000902D5" w:rsidRPr="000902D5" w:rsidTr="00B97EDB">
        <w:trPr>
          <w:trHeight w:val="285"/>
          <w:jc w:val="center"/>
        </w:trPr>
        <w:tc>
          <w:tcPr>
            <w:tcW w:w="1509"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ILA056</w:t>
            </w:r>
          </w:p>
        </w:tc>
        <w:tc>
          <w:tcPr>
            <w:tcW w:w="1936"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5.291</w:t>
            </w:r>
          </w:p>
        </w:tc>
        <w:tc>
          <w:tcPr>
            <w:tcW w:w="1083"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103.69</w:t>
            </w:r>
          </w:p>
        </w:tc>
        <w:tc>
          <w:tcPr>
            <w:tcW w:w="1510" w:type="dxa"/>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0.078</w:t>
            </w:r>
          </w:p>
        </w:tc>
      </w:tr>
      <w:tr w:rsidR="000902D5" w:rsidRPr="000902D5" w:rsidTr="00B97EDB">
        <w:trPr>
          <w:trHeight w:val="285"/>
          <w:jc w:val="center"/>
        </w:trPr>
        <w:tc>
          <w:tcPr>
            <w:tcW w:w="1509"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ILA004</w:t>
            </w:r>
          </w:p>
        </w:tc>
        <w:tc>
          <w:tcPr>
            <w:tcW w:w="1936"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4.808</w:t>
            </w:r>
          </w:p>
        </w:tc>
        <w:tc>
          <w:tcPr>
            <w:tcW w:w="1083"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110.68</w:t>
            </w:r>
          </w:p>
        </w:tc>
        <w:tc>
          <w:tcPr>
            <w:tcW w:w="151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lang w:val="en-US" w:eastAsia="en-US"/>
              </w:rPr>
              <w:t>0.078</w:t>
            </w:r>
          </w:p>
        </w:tc>
      </w:tr>
    </w:tbl>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noProof/>
          <w:snapToGrid w:val="0"/>
          <w:szCs w:val="24"/>
        </w:rPr>
        <w:drawing>
          <wp:inline distT="0" distB="0" distL="0" distR="0" wp14:anchorId="58CAC8F0" wp14:editId="768B8B3B">
            <wp:extent cx="611505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160020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 w:val="20"/>
          <w:szCs w:val="20"/>
          <w:lang w:val="en-US" w:eastAsia="en-US"/>
        </w:rPr>
      </w:pPr>
    </w:p>
    <w:p w:rsidR="000902D5" w:rsidRPr="000902D5" w:rsidRDefault="000902D5" w:rsidP="000902D5">
      <w:pPr>
        <w:widowControl w:val="0"/>
        <w:spacing w:after="0" w:line="240" w:lineRule="auto"/>
        <w:jc w:val="center"/>
        <w:rPr>
          <w:rFonts w:eastAsia="Times New Roman"/>
          <w:snapToGrid w:val="0"/>
          <w:sz w:val="20"/>
          <w:szCs w:val="24"/>
          <w:lang w:val="en-US" w:eastAsia="en-US"/>
        </w:rPr>
      </w:pPr>
      <w:r w:rsidRPr="000902D5">
        <w:rPr>
          <w:rFonts w:eastAsia="Times New Roman"/>
          <w:snapToGrid w:val="0"/>
          <w:sz w:val="20"/>
          <w:szCs w:val="24"/>
          <w:lang w:val="en-US" w:eastAsia="en-US"/>
        </w:rPr>
        <w:t xml:space="preserve">Figure </w:t>
      </w:r>
      <w:r w:rsidRPr="000902D5">
        <w:rPr>
          <w:rFonts w:eastAsia="Times New Roman" w:hint="eastAsia"/>
          <w:snapToGrid w:val="0"/>
          <w:sz w:val="20"/>
          <w:szCs w:val="24"/>
          <w:lang w:val="en-US" w:eastAsia="en-US"/>
        </w:rPr>
        <w:t>3</w:t>
      </w:r>
      <w:r w:rsidRPr="000902D5">
        <w:rPr>
          <w:rFonts w:eastAsia="Times New Roman"/>
          <w:snapToGrid w:val="0"/>
          <w:sz w:val="20"/>
          <w:szCs w:val="24"/>
          <w:lang w:val="en-US" w:eastAsia="en-US"/>
        </w:rPr>
        <w:t xml:space="preserve">. Acceleration time history curve of </w:t>
      </w:r>
      <w:r w:rsidRPr="000902D5">
        <w:rPr>
          <w:rFonts w:eastAsia="Times New Roman" w:hint="eastAsia"/>
          <w:snapToGrid w:val="0"/>
          <w:sz w:val="20"/>
          <w:szCs w:val="24"/>
          <w:lang w:val="en-US" w:eastAsia="en-US"/>
        </w:rPr>
        <w:t>three</w:t>
      </w:r>
      <w:r w:rsidRPr="000902D5">
        <w:rPr>
          <w:rFonts w:eastAsia="Times New Roman"/>
          <w:snapToGrid w:val="0"/>
          <w:sz w:val="20"/>
          <w:szCs w:val="24"/>
          <w:lang w:val="en-US" w:eastAsia="en-US"/>
        </w:rPr>
        <w:t xml:space="preserve"> ground motion (g)</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4. Sensitivity analysis of bridge seismic response to bearing parameters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The bearing shear deformation, the shearing force at column bottom and the displacement of pier top have a high relation with the ground excitation, which are considered as the control parameters of seismic response of the bridge. Sensitivity analysis of bridge seismic response to bearing parameters, including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d</w:t>
      </w:r>
      <w:r w:rsidRPr="000902D5">
        <w:rPr>
          <w:rFonts w:eastAsia="Times New Roman"/>
          <w:snapToGrid w:val="0"/>
          <w:szCs w:val="24"/>
          <w:lang w:val="en-US" w:eastAsia="en-US"/>
        </w:rPr>
        <w:t xml:space="preserve"> and alpha, were conducted according to the highway bridges lead isolation rubber bearing (JT/T 822-2011) regulation. The value ranges of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and </w:t>
      </w:r>
      <w:r w:rsidRPr="000902D5">
        <w:rPr>
          <w:rFonts w:eastAsia="Times New Roman"/>
          <w:i/>
          <w:snapToGrid w:val="0"/>
          <w:sz w:val="21"/>
          <w:szCs w:val="21"/>
          <w:lang w:val="en-US" w:eastAsia="en-US"/>
        </w:rPr>
        <w:t xml:space="preserve">α </w:t>
      </w:r>
      <w:r w:rsidRPr="000902D5">
        <w:rPr>
          <w:rFonts w:eastAsia="Times New Roman"/>
          <w:snapToGrid w:val="0"/>
          <w:szCs w:val="24"/>
          <w:lang w:val="en-US" w:eastAsia="en-US"/>
        </w:rPr>
        <w:t>are listed in Table 2.</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bookmarkStart w:id="1" w:name="OLE_LINK1"/>
      <w:r w:rsidRPr="000902D5">
        <w:rPr>
          <w:rFonts w:eastAsia="Times New Roman"/>
          <w:snapToGrid w:val="0"/>
          <w:sz w:val="20"/>
          <w:szCs w:val="20"/>
          <w:lang w:val="en-US" w:eastAsia="en-US"/>
        </w:rPr>
        <w:t xml:space="preserve">Table </w:t>
      </w:r>
      <w:r w:rsidRPr="000902D5">
        <w:rPr>
          <w:rFonts w:eastAsia="Times New Roman" w:hint="eastAsia"/>
          <w:snapToGrid w:val="0"/>
          <w:sz w:val="20"/>
          <w:szCs w:val="20"/>
          <w:lang w:val="en-US" w:eastAsia="en-US"/>
        </w:rPr>
        <w:t>2</w:t>
      </w:r>
      <w:r w:rsidRPr="000902D5">
        <w:rPr>
          <w:rFonts w:eastAsia="Times New Roman"/>
          <w:snapToGrid w:val="0"/>
          <w:sz w:val="20"/>
          <w:szCs w:val="20"/>
          <w:lang w:val="en-US" w:eastAsia="en-US"/>
        </w:rPr>
        <w:t xml:space="preserve">. </w:t>
      </w:r>
      <w:bookmarkEnd w:id="1"/>
      <w:r w:rsidRPr="000902D5">
        <w:rPr>
          <w:rFonts w:eastAsia="Times New Roman"/>
          <w:snapToGrid w:val="0"/>
          <w:sz w:val="20"/>
          <w:szCs w:val="20"/>
          <w:lang w:val="en-US" w:eastAsia="en-US"/>
        </w:rPr>
        <w:t>The value of parameter</w:t>
      </w:r>
    </w:p>
    <w:p w:rsidR="000902D5" w:rsidRPr="000902D5" w:rsidRDefault="000902D5" w:rsidP="000902D5">
      <w:pPr>
        <w:widowControl w:val="0"/>
        <w:spacing w:after="0" w:line="240" w:lineRule="auto"/>
        <w:jc w:val="both"/>
        <w:rPr>
          <w:rFonts w:eastAsia="Times New Roman"/>
          <w:snapToGrid w:val="0"/>
          <w:sz w:val="20"/>
          <w:szCs w:val="20"/>
          <w:lang w:val="en-US" w:eastAsia="en-US"/>
        </w:rPr>
      </w:pPr>
    </w:p>
    <w:tbl>
      <w:tblPr>
        <w:tblW w:w="8553" w:type="dxa"/>
        <w:jc w:val="center"/>
        <w:tblLayout w:type="fixed"/>
        <w:tblLook w:val="0000" w:firstRow="0" w:lastRow="0" w:firstColumn="0" w:lastColumn="0" w:noHBand="0" w:noVBand="0"/>
      </w:tblPr>
      <w:tblGrid>
        <w:gridCol w:w="3451"/>
        <w:gridCol w:w="850"/>
        <w:gridCol w:w="850"/>
        <w:gridCol w:w="850"/>
        <w:gridCol w:w="850"/>
        <w:gridCol w:w="850"/>
        <w:gridCol w:w="852"/>
      </w:tblGrid>
      <w:tr w:rsidR="000902D5" w:rsidRPr="000902D5" w:rsidTr="00B97EDB">
        <w:trPr>
          <w:jc w:val="center"/>
        </w:trPr>
        <w:tc>
          <w:tcPr>
            <w:tcW w:w="3451" w:type="dxa"/>
            <w:tcBorders>
              <w:top w:val="single" w:sz="4" w:space="0" w:color="auto"/>
              <w:bottom w:val="single" w:sz="4" w:space="0" w:color="auto"/>
            </w:tcBorders>
          </w:tcPr>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parameters</w:t>
            </w:r>
          </w:p>
        </w:tc>
        <w:tc>
          <w:tcPr>
            <w:tcW w:w="5102" w:type="dxa"/>
            <w:gridSpan w:val="6"/>
            <w:tcBorders>
              <w:top w:val="single" w:sz="4" w:space="0" w:color="auto"/>
              <w:bottom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Value</w:t>
            </w:r>
          </w:p>
        </w:tc>
      </w:tr>
      <w:tr w:rsidR="000902D5" w:rsidRPr="000902D5" w:rsidTr="00B97EDB">
        <w:trPr>
          <w:jc w:val="center"/>
        </w:trPr>
        <w:tc>
          <w:tcPr>
            <w:tcW w:w="3451" w:type="dxa"/>
            <w:tcBorders>
              <w:top w:val="single" w:sz="4" w:space="0" w:color="auto"/>
            </w:tcBorders>
          </w:tcPr>
          <w:p w:rsidR="000902D5" w:rsidRPr="000902D5" w:rsidRDefault="000902D5" w:rsidP="000902D5">
            <w:pPr>
              <w:widowControl w:val="0"/>
              <w:spacing w:after="0" w:line="240" w:lineRule="auto"/>
              <w:jc w:val="center"/>
              <w:rPr>
                <w:rFonts w:eastAsia="Times New Roman"/>
                <w:i/>
                <w:snapToGrid w:val="0"/>
                <w:sz w:val="21"/>
                <w:szCs w:val="21"/>
                <w:lang w:val="en-US" w:eastAsia="en-US"/>
              </w:rPr>
            </w:pPr>
            <w:r w:rsidRPr="000902D5">
              <w:rPr>
                <w:rFonts w:eastAsia="Times New Roman"/>
                <w:snapToGrid w:val="0"/>
                <w:sz w:val="21"/>
                <w:szCs w:val="21"/>
                <w:lang w:val="en-US" w:eastAsia="en-US"/>
              </w:rPr>
              <w:t>Yield point</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F</w:t>
            </w:r>
            <w:r w:rsidRPr="000902D5">
              <w:rPr>
                <w:rFonts w:eastAsia="Times New Roman"/>
                <w:snapToGrid w:val="0"/>
                <w:sz w:val="21"/>
                <w:szCs w:val="21"/>
                <w:vertAlign w:val="subscript"/>
                <w:lang w:val="en-US" w:eastAsia="en-US"/>
              </w:rPr>
              <w:t>y</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Cs w:val="24"/>
                <w:shd w:val="clear" w:color="auto" w:fill="FFFFFF"/>
                <w:lang w:val="en-US" w:eastAsia="en-US"/>
              </w:rPr>
              <w:sym w:font="Symbol" w:char="F0B4"/>
            </w:r>
            <w:r w:rsidRPr="000902D5">
              <w:rPr>
                <w:rFonts w:eastAsia="Times New Roman" w:hint="eastAsia"/>
                <w:snapToGrid w:val="0"/>
                <w:szCs w:val="24"/>
                <w:shd w:val="clear" w:color="auto" w:fill="FFFFFF"/>
                <w:lang w:val="en-US" w:eastAsia="en-US"/>
              </w:rPr>
              <w:t>10</w:t>
            </w:r>
            <w:r w:rsidRPr="000902D5">
              <w:rPr>
                <w:rFonts w:eastAsia="Times New Roman" w:hint="eastAsia"/>
                <w:snapToGrid w:val="0"/>
                <w:szCs w:val="24"/>
                <w:shd w:val="clear" w:color="auto" w:fill="FFFFFF"/>
                <w:vertAlign w:val="superscript"/>
                <w:lang w:val="en-US" w:eastAsia="en-US"/>
              </w:rPr>
              <w:t>5</w:t>
            </w:r>
            <w:r w:rsidRPr="000902D5">
              <w:rPr>
                <w:rFonts w:eastAsia="Times New Roman"/>
                <w:snapToGrid w:val="0"/>
                <w:sz w:val="21"/>
                <w:szCs w:val="21"/>
                <w:lang w:val="en-US" w:eastAsia="en-US"/>
              </w:rPr>
              <w:t>N)</w:t>
            </w:r>
          </w:p>
        </w:tc>
        <w:tc>
          <w:tcPr>
            <w:tcW w:w="850"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0.5</w:t>
            </w:r>
          </w:p>
        </w:tc>
        <w:tc>
          <w:tcPr>
            <w:tcW w:w="850" w:type="dxa"/>
            <w:tcBorders>
              <w:top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w:t>
            </w:r>
            <w:r w:rsidRPr="000902D5">
              <w:rPr>
                <w:rFonts w:eastAsia="Times New Roman" w:hint="eastAsia"/>
                <w:snapToGrid w:val="0"/>
                <w:sz w:val="21"/>
                <w:szCs w:val="21"/>
                <w:lang w:val="en-US" w:eastAsia="en-US"/>
              </w:rPr>
              <w:t>.0</w:t>
            </w:r>
          </w:p>
        </w:tc>
        <w:tc>
          <w:tcPr>
            <w:tcW w:w="850" w:type="dxa"/>
            <w:tcBorders>
              <w:top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w:t>
            </w:r>
            <w:r w:rsidRPr="000902D5">
              <w:rPr>
                <w:rFonts w:eastAsia="Times New Roman" w:hint="eastAsia"/>
                <w:snapToGrid w:val="0"/>
                <w:sz w:val="21"/>
                <w:szCs w:val="21"/>
                <w:lang w:val="en-US" w:eastAsia="en-US"/>
              </w:rPr>
              <w:t>.</w:t>
            </w:r>
            <w:r w:rsidRPr="000902D5">
              <w:rPr>
                <w:rFonts w:eastAsia="Times New Roman"/>
                <w:snapToGrid w:val="0"/>
                <w:sz w:val="21"/>
                <w:szCs w:val="21"/>
                <w:lang w:val="en-US" w:eastAsia="en-US"/>
              </w:rPr>
              <w:t>5</w:t>
            </w:r>
          </w:p>
        </w:tc>
        <w:tc>
          <w:tcPr>
            <w:tcW w:w="850" w:type="dxa"/>
            <w:tcBorders>
              <w:top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2</w:t>
            </w:r>
            <w:r w:rsidRPr="000902D5">
              <w:rPr>
                <w:rFonts w:eastAsia="Times New Roman" w:hint="eastAsia"/>
                <w:snapToGrid w:val="0"/>
                <w:sz w:val="21"/>
                <w:szCs w:val="21"/>
                <w:lang w:val="en-US" w:eastAsia="en-US"/>
              </w:rPr>
              <w:t>.0</w:t>
            </w:r>
          </w:p>
        </w:tc>
        <w:tc>
          <w:tcPr>
            <w:tcW w:w="850"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2.5</w:t>
            </w:r>
          </w:p>
        </w:tc>
        <w:tc>
          <w:tcPr>
            <w:tcW w:w="852"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3.0</w:t>
            </w:r>
          </w:p>
        </w:tc>
      </w:tr>
      <w:tr w:rsidR="000902D5" w:rsidRPr="000902D5" w:rsidTr="00B97EDB">
        <w:trPr>
          <w:jc w:val="center"/>
        </w:trPr>
        <w:tc>
          <w:tcPr>
            <w:tcW w:w="3451" w:type="dxa"/>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Initial stiffness</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K</w:t>
            </w:r>
            <w:r w:rsidRPr="000902D5">
              <w:rPr>
                <w:rFonts w:eastAsia="Times New Roman"/>
                <w:snapToGrid w:val="0"/>
                <w:sz w:val="21"/>
                <w:szCs w:val="21"/>
                <w:vertAlign w:val="subscript"/>
                <w:lang w:val="en-US" w:eastAsia="en-US"/>
              </w:rPr>
              <w:t xml:space="preserve">u </w:t>
            </w:r>
            <w:r w:rsidRPr="000902D5">
              <w:rPr>
                <w:rFonts w:eastAsia="Times New Roman"/>
                <w:snapToGrid w:val="0"/>
                <w:sz w:val="21"/>
                <w:szCs w:val="21"/>
                <w:lang w:val="en-US" w:eastAsia="en-US"/>
              </w:rPr>
              <w:t>(</w:t>
            </w:r>
            <w:r w:rsidRPr="000902D5">
              <w:rPr>
                <w:rFonts w:eastAsia="Times New Roman"/>
                <w:snapToGrid w:val="0"/>
                <w:szCs w:val="24"/>
                <w:shd w:val="clear" w:color="auto" w:fill="FFFFFF"/>
                <w:lang w:val="en-US" w:eastAsia="en-US"/>
              </w:rPr>
              <w:sym w:font="Symbol" w:char="F0B4"/>
            </w:r>
            <w:r w:rsidRPr="000902D5">
              <w:rPr>
                <w:rFonts w:eastAsia="Times New Roman" w:hint="eastAsia"/>
                <w:snapToGrid w:val="0"/>
                <w:szCs w:val="24"/>
                <w:shd w:val="clear" w:color="auto" w:fill="FFFFFF"/>
                <w:lang w:val="en-US" w:eastAsia="en-US"/>
              </w:rPr>
              <w:t>10</w:t>
            </w:r>
            <w:r w:rsidRPr="000902D5">
              <w:rPr>
                <w:rFonts w:eastAsia="Times New Roman" w:hint="eastAsia"/>
                <w:snapToGrid w:val="0"/>
                <w:szCs w:val="24"/>
                <w:shd w:val="clear" w:color="auto" w:fill="FFFFFF"/>
                <w:vertAlign w:val="superscript"/>
                <w:lang w:val="en-US" w:eastAsia="en-US"/>
              </w:rPr>
              <w:t>7</w:t>
            </w:r>
            <w:r w:rsidRPr="000902D5">
              <w:rPr>
                <w:rFonts w:eastAsia="Times New Roman"/>
                <w:snapToGrid w:val="0"/>
                <w:sz w:val="21"/>
                <w:szCs w:val="21"/>
                <w:lang w:val="en-US" w:eastAsia="en-US"/>
              </w:rPr>
              <w:t>N/m)</w:t>
            </w:r>
          </w:p>
        </w:tc>
        <w:tc>
          <w:tcPr>
            <w:tcW w:w="85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0.</w:t>
            </w:r>
            <w:r w:rsidRPr="000902D5">
              <w:rPr>
                <w:rFonts w:eastAsia="Times New Roman"/>
                <w:snapToGrid w:val="0"/>
                <w:sz w:val="21"/>
                <w:szCs w:val="21"/>
                <w:lang w:val="en-US" w:eastAsia="en-US"/>
              </w:rPr>
              <w:t>9</w:t>
            </w:r>
          </w:p>
        </w:tc>
        <w:tc>
          <w:tcPr>
            <w:tcW w:w="85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w:t>
            </w:r>
            <w:r w:rsidRPr="000902D5">
              <w:rPr>
                <w:rFonts w:eastAsia="Times New Roman" w:hint="eastAsia"/>
                <w:snapToGrid w:val="0"/>
                <w:sz w:val="21"/>
                <w:szCs w:val="21"/>
                <w:lang w:val="en-US" w:eastAsia="en-US"/>
              </w:rPr>
              <w:t>.</w:t>
            </w:r>
            <w:r w:rsidRPr="000902D5">
              <w:rPr>
                <w:rFonts w:eastAsia="Times New Roman"/>
                <w:snapToGrid w:val="0"/>
                <w:sz w:val="21"/>
                <w:szCs w:val="21"/>
                <w:lang w:val="en-US" w:eastAsia="en-US"/>
              </w:rPr>
              <w:t>3</w:t>
            </w:r>
          </w:p>
        </w:tc>
        <w:tc>
          <w:tcPr>
            <w:tcW w:w="85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1.8</w:t>
            </w:r>
          </w:p>
        </w:tc>
        <w:tc>
          <w:tcPr>
            <w:tcW w:w="850" w:type="dxa"/>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2</w:t>
            </w:r>
            <w:r w:rsidRPr="000902D5">
              <w:rPr>
                <w:rFonts w:eastAsia="Times New Roman" w:hint="eastAsia"/>
                <w:snapToGrid w:val="0"/>
                <w:sz w:val="21"/>
                <w:szCs w:val="21"/>
                <w:lang w:val="en-US" w:eastAsia="en-US"/>
              </w:rPr>
              <w:t>.</w:t>
            </w:r>
            <w:r w:rsidRPr="000902D5">
              <w:rPr>
                <w:rFonts w:eastAsia="Times New Roman"/>
                <w:snapToGrid w:val="0"/>
                <w:sz w:val="21"/>
                <w:szCs w:val="21"/>
                <w:lang w:val="en-US" w:eastAsia="en-US"/>
              </w:rPr>
              <w:t>15</w:t>
            </w:r>
          </w:p>
        </w:tc>
        <w:tc>
          <w:tcPr>
            <w:tcW w:w="85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2.5</w:t>
            </w:r>
          </w:p>
        </w:tc>
        <w:tc>
          <w:tcPr>
            <w:tcW w:w="852"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3.0</w:t>
            </w:r>
          </w:p>
        </w:tc>
      </w:tr>
      <w:tr w:rsidR="000902D5" w:rsidRPr="000902D5" w:rsidTr="00B97EDB">
        <w:trPr>
          <w:jc w:val="center"/>
        </w:trPr>
        <w:tc>
          <w:tcPr>
            <w:tcW w:w="3451" w:type="dxa"/>
            <w:tcBorders>
              <w:bottom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 xml:space="preserve">Hardening ratio </w:t>
            </w:r>
            <w:r w:rsidRPr="000902D5">
              <w:rPr>
                <w:rFonts w:eastAsia="Times New Roman"/>
                <w:i/>
                <w:snapToGrid w:val="0"/>
                <w:sz w:val="21"/>
                <w:szCs w:val="21"/>
                <w:lang w:val="en-US" w:eastAsia="en-US"/>
              </w:rPr>
              <w:t>α</w:t>
            </w:r>
          </w:p>
        </w:tc>
        <w:tc>
          <w:tcPr>
            <w:tcW w:w="85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0.08</w:t>
            </w:r>
          </w:p>
        </w:tc>
        <w:tc>
          <w:tcPr>
            <w:tcW w:w="850" w:type="dxa"/>
            <w:tcBorders>
              <w:bottom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850" w:type="dxa"/>
            <w:tcBorders>
              <w:bottom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0.25</w:t>
            </w:r>
          </w:p>
        </w:tc>
        <w:tc>
          <w:tcPr>
            <w:tcW w:w="850" w:type="dxa"/>
            <w:tcBorders>
              <w:bottom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0.32</w:t>
            </w:r>
          </w:p>
        </w:tc>
        <w:tc>
          <w:tcPr>
            <w:tcW w:w="85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0.4</w:t>
            </w:r>
          </w:p>
        </w:tc>
        <w:tc>
          <w:tcPr>
            <w:tcW w:w="852"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hint="eastAsia"/>
                <w:snapToGrid w:val="0"/>
                <w:sz w:val="21"/>
                <w:szCs w:val="21"/>
                <w:lang w:val="en-US" w:eastAsia="en-US"/>
              </w:rPr>
              <w:t>0.5</w:t>
            </w:r>
          </w:p>
        </w:tc>
      </w:tr>
    </w:tbl>
    <w:p w:rsidR="000902D5" w:rsidRPr="000902D5" w:rsidRDefault="000902D5" w:rsidP="000902D5">
      <w:pPr>
        <w:widowControl w:val="0"/>
        <w:spacing w:after="0" w:line="240" w:lineRule="auto"/>
        <w:jc w:val="both"/>
        <w:rPr>
          <w:rFonts w:eastAsia="Times New Roman"/>
          <w:snapToGrid w:val="0"/>
          <w:sz w:val="21"/>
          <w:szCs w:val="21"/>
          <w:lang w:val="en-US" w:eastAsia="en-US"/>
        </w:rPr>
      </w:pPr>
    </w:p>
    <w:p w:rsidR="000902D5" w:rsidRPr="000902D5" w:rsidRDefault="000902D5" w:rsidP="000902D5">
      <w:pPr>
        <w:widowControl w:val="0"/>
        <w:spacing w:after="0" w:line="240" w:lineRule="auto"/>
        <w:jc w:val="both"/>
        <w:rPr>
          <w:rFonts w:eastAsia="SimSun" w:cs="SimSun"/>
          <w:snapToGrid w:val="0"/>
          <w:szCs w:val="24"/>
          <w:lang w:val="en-US" w:eastAsia="zh-CN"/>
        </w:rPr>
      </w:pPr>
      <w:r w:rsidRPr="000902D5">
        <w:rPr>
          <w:rFonts w:eastAsia="Times New Roman"/>
          <w:snapToGrid w:val="0"/>
          <w:szCs w:val="24"/>
          <w:lang w:val="en-US" w:eastAsia="en-US"/>
        </w:rPr>
        <w:t>The horizontal equivalent stiffness of the lead-core rubber bearing can be calculated by Equation 1</w:t>
      </w:r>
      <w:r w:rsidRPr="000902D5">
        <w:rPr>
          <w:rFonts w:eastAsia="SimSun" w:cs="SimSun" w:hint="eastAsia"/>
          <w:snapToGrid w:val="0"/>
          <w:szCs w:val="24"/>
          <w:lang w:val="en-US" w:eastAsia="zh-CN"/>
        </w:rPr>
        <w:t>:</w:t>
      </w:r>
      <w:r w:rsidRPr="000902D5">
        <w:rPr>
          <w:rFonts w:eastAsia="SimSun" w:cs="SimSun"/>
          <w:snapToGrid w:val="0"/>
          <w:szCs w:val="24"/>
          <w:lang w:val="en-US" w:eastAsia="zh-CN"/>
        </w:rPr>
        <w:t xml:space="preserve"> </w:t>
      </w:r>
    </w:p>
    <w:p w:rsidR="000902D5" w:rsidRPr="000902D5" w:rsidRDefault="000902D5" w:rsidP="000902D5">
      <w:pPr>
        <w:widowControl w:val="0"/>
        <w:spacing w:after="0" w:line="240" w:lineRule="auto"/>
        <w:jc w:val="both"/>
        <w:rPr>
          <w:rFonts w:eastAsia="SimSun" w:cs="SimSun"/>
          <w:snapToGrid w:val="0"/>
          <w:szCs w:val="24"/>
          <w:lang w:val="en-US" w:eastAsia="zh-CN"/>
        </w:rPr>
      </w:pPr>
    </w:p>
    <w:p w:rsidR="000902D5" w:rsidRPr="000902D5" w:rsidRDefault="000902D5" w:rsidP="000902D5">
      <w:pPr>
        <w:widowControl w:val="0"/>
        <w:tabs>
          <w:tab w:val="left" w:pos="720"/>
          <w:tab w:val="right" w:pos="9360"/>
        </w:tabs>
        <w:suppressAutoHyphens/>
        <w:spacing w:after="0" w:line="240" w:lineRule="auto"/>
        <w:jc w:val="both"/>
        <w:rPr>
          <w:rFonts w:eastAsia="Times New Roman"/>
          <w:snapToGrid w:val="0"/>
          <w:szCs w:val="24"/>
          <w:lang w:val="en-US" w:eastAsia="en-US"/>
        </w:rPr>
      </w:pPr>
      <w:r w:rsidRPr="000902D5">
        <w:rPr>
          <w:rFonts w:eastAsia="Times New Roman"/>
          <w:snapToGrid w:val="0"/>
          <w:position w:val="-30"/>
          <w:szCs w:val="24"/>
          <w:lang w:val="en-US" w:eastAsia="en-US"/>
        </w:rPr>
        <w:object w:dxaOrig="1507" w:dyaOrig="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i1025" type="#_x0000_t75" style="width:74.25pt;height:36.75pt;mso-position-horizontal-relative:page;mso-position-vertical-relative:page" o:ole="">
            <v:imagedata r:id="rId10" o:title=""/>
          </v:shape>
          <o:OLEObject Type="Embed" ProgID="Equation.3" ShapeID="Picture 216" DrawAspect="Content" ObjectID="_1682350195" r:id="rId11"/>
        </w:object>
      </w:r>
      <w:r w:rsidRPr="000902D5">
        <w:rPr>
          <w:rFonts w:eastAsia="Times New Roman"/>
          <w:snapToGrid w:val="0"/>
          <w:szCs w:val="24"/>
          <w:lang w:val="en-US" w:eastAsia="en-US"/>
        </w:rPr>
        <w:tab/>
        <w:t>(1)</w:t>
      </w:r>
    </w:p>
    <w:p w:rsidR="000902D5" w:rsidRPr="000902D5" w:rsidRDefault="000902D5" w:rsidP="000902D5">
      <w:pPr>
        <w:widowControl w:val="0"/>
        <w:spacing w:after="0" w:line="240" w:lineRule="auto"/>
        <w:jc w:val="both"/>
        <w:rPr>
          <w:rFonts w:eastAsia="SimSun" w:cs="SimSun"/>
          <w:snapToGrid w:val="0"/>
          <w:szCs w:val="24"/>
          <w:lang w:val="en-US" w:eastAsia="zh-CN"/>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Where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is the yield force, </w:t>
      </w:r>
      <w:r w:rsidRPr="000902D5">
        <w:rPr>
          <w:rFonts w:eastAsia="Times New Roman"/>
          <w:i/>
          <w:snapToGrid w:val="0"/>
          <w:szCs w:val="24"/>
          <w:lang w:val="en-US" w:eastAsia="en-US"/>
        </w:rPr>
        <w:t>T</w:t>
      </w:r>
      <w:r w:rsidRPr="000902D5">
        <w:rPr>
          <w:rFonts w:eastAsia="Times New Roman"/>
          <w:snapToGrid w:val="0"/>
          <w:szCs w:val="24"/>
          <w:vertAlign w:val="subscript"/>
          <w:lang w:val="en-US" w:eastAsia="en-US"/>
        </w:rPr>
        <w:t>r</w:t>
      </w:r>
      <w:r w:rsidRPr="000902D5">
        <w:rPr>
          <w:rFonts w:eastAsia="Times New Roman"/>
          <w:snapToGrid w:val="0"/>
          <w:szCs w:val="24"/>
          <w:lang w:val="en-US" w:eastAsia="en-US"/>
        </w:rPr>
        <w:t xml:space="preserve"> is the total thic</w:t>
      </w:r>
      <w:r w:rsidRPr="000902D5">
        <w:rPr>
          <w:rFonts w:eastAsia="SimSun" w:hint="eastAsia"/>
          <w:snapToGrid w:val="0"/>
          <w:szCs w:val="24"/>
          <w:lang w:val="en-US" w:eastAsia="zh-CN"/>
        </w:rPr>
        <w:t>k</w:t>
      </w:r>
      <w:r w:rsidRPr="000902D5">
        <w:rPr>
          <w:rFonts w:eastAsia="Times New Roman"/>
          <w:snapToGrid w:val="0"/>
          <w:szCs w:val="24"/>
          <w:lang w:val="en-US" w:eastAsia="en-US"/>
        </w:rPr>
        <w:t xml:space="preserve">ness of internal rubber, </w:t>
      </w:r>
      <w:r w:rsidRPr="000902D5">
        <w:rPr>
          <w:rFonts w:eastAsia="Times New Roman"/>
          <w:i/>
          <w:snapToGrid w:val="0"/>
          <w:szCs w:val="24"/>
          <w:lang w:val="en-US" w:eastAsia="en-US"/>
        </w:rPr>
        <w:t xml:space="preserve">γ </w:t>
      </w:r>
      <w:r w:rsidRPr="000902D5">
        <w:rPr>
          <w:rFonts w:eastAsia="Times New Roman"/>
          <w:snapToGrid w:val="0"/>
          <w:szCs w:val="24"/>
          <w:lang w:val="en-US" w:eastAsia="en-US"/>
        </w:rPr>
        <w:t xml:space="preserve">is the shear strain, and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d</w:t>
      </w:r>
      <w:r w:rsidRPr="000902D5">
        <w:rPr>
          <w:rFonts w:eastAsia="Times New Roman"/>
          <w:snapToGrid w:val="0"/>
          <w:szCs w:val="24"/>
          <w:lang w:val="en-US" w:eastAsia="en-US"/>
        </w:rPr>
        <w:t xml:space="preserve"> is the post-yield stiffness. Table 3 lists the horizontal equivalent stiffness of bearings with different values of parameters.     </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Table 3. Parameter cases of effective horizontal stiffness</w:t>
      </w:r>
    </w:p>
    <w:p w:rsidR="000902D5" w:rsidRPr="000902D5" w:rsidRDefault="000902D5" w:rsidP="000902D5">
      <w:pPr>
        <w:widowControl w:val="0"/>
        <w:spacing w:after="0" w:line="240" w:lineRule="auto"/>
        <w:jc w:val="both"/>
        <w:rPr>
          <w:rFonts w:eastAsia="Times New Roman"/>
          <w:snapToGrid w:val="0"/>
          <w:sz w:val="20"/>
          <w:szCs w:val="20"/>
          <w:lang w:val="en-US" w:eastAsia="en-US"/>
        </w:rPr>
      </w:pPr>
    </w:p>
    <w:tbl>
      <w:tblPr>
        <w:tblW w:w="9746" w:type="dxa"/>
        <w:jc w:val="center"/>
        <w:tblLayout w:type="fixed"/>
        <w:tblLook w:val="0000" w:firstRow="0" w:lastRow="0" w:firstColumn="0" w:lastColumn="0" w:noHBand="0" w:noVBand="0"/>
      </w:tblPr>
      <w:tblGrid>
        <w:gridCol w:w="2856"/>
        <w:gridCol w:w="893"/>
        <w:gridCol w:w="709"/>
        <w:gridCol w:w="957"/>
        <w:gridCol w:w="872"/>
        <w:gridCol w:w="844"/>
        <w:gridCol w:w="780"/>
        <w:gridCol w:w="765"/>
        <w:gridCol w:w="1070"/>
      </w:tblGrid>
      <w:tr w:rsidR="000902D5" w:rsidRPr="000902D5" w:rsidTr="00B97EDB">
        <w:trPr>
          <w:trHeight w:val="285"/>
          <w:jc w:val="center"/>
        </w:trPr>
        <w:tc>
          <w:tcPr>
            <w:tcW w:w="2856" w:type="dxa"/>
            <w:tcBorders>
              <w:top w:val="single" w:sz="4" w:space="0" w:color="auto"/>
              <w:bottom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bookmarkStart w:id="2" w:name="OLE_LINK4"/>
            <w:r w:rsidRPr="000902D5">
              <w:rPr>
                <w:rFonts w:eastAsia="Times New Roman"/>
                <w:b/>
                <w:snapToGrid w:val="0"/>
                <w:sz w:val="21"/>
                <w:szCs w:val="21"/>
                <w:lang w:val="en-US" w:eastAsia="en-US"/>
              </w:rPr>
              <w:t xml:space="preserve">Parameter </w:t>
            </w:r>
            <w:bookmarkEnd w:id="2"/>
            <w:r w:rsidRPr="000902D5">
              <w:rPr>
                <w:rFonts w:eastAsia="Times New Roman"/>
                <w:b/>
                <w:snapToGrid w:val="0"/>
                <w:sz w:val="21"/>
                <w:szCs w:val="21"/>
                <w:lang w:val="en-US" w:eastAsia="en-US"/>
              </w:rPr>
              <w:t>cases</w:t>
            </w:r>
          </w:p>
        </w:tc>
        <w:tc>
          <w:tcPr>
            <w:tcW w:w="893"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①</w:t>
            </w:r>
          </w:p>
        </w:tc>
        <w:tc>
          <w:tcPr>
            <w:tcW w:w="709"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②</w:t>
            </w:r>
          </w:p>
        </w:tc>
        <w:tc>
          <w:tcPr>
            <w:tcW w:w="957"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③</w:t>
            </w:r>
          </w:p>
        </w:tc>
        <w:tc>
          <w:tcPr>
            <w:tcW w:w="872"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④</w:t>
            </w:r>
          </w:p>
        </w:tc>
        <w:tc>
          <w:tcPr>
            <w:tcW w:w="844"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⑤</w:t>
            </w:r>
          </w:p>
        </w:tc>
        <w:tc>
          <w:tcPr>
            <w:tcW w:w="780"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⑥</w:t>
            </w:r>
          </w:p>
        </w:tc>
        <w:tc>
          <w:tcPr>
            <w:tcW w:w="765"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⑦</w:t>
            </w:r>
          </w:p>
        </w:tc>
        <w:tc>
          <w:tcPr>
            <w:tcW w:w="1070" w:type="dxa"/>
            <w:tcBorders>
              <w:top w:val="single" w:sz="4" w:space="0" w:color="auto"/>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⑧</w:t>
            </w:r>
          </w:p>
        </w:tc>
      </w:tr>
      <w:tr w:rsidR="000902D5" w:rsidRPr="000902D5" w:rsidTr="00B97EDB">
        <w:trPr>
          <w:trHeight w:val="285"/>
          <w:jc w:val="center"/>
        </w:trPr>
        <w:tc>
          <w:tcPr>
            <w:tcW w:w="2856" w:type="dxa"/>
            <w:tcBorders>
              <w:top w:val="single" w:sz="4" w:space="0" w:color="auto"/>
            </w:tcBorders>
          </w:tcPr>
          <w:p w:rsidR="000902D5" w:rsidRPr="000902D5" w:rsidRDefault="000902D5" w:rsidP="000902D5">
            <w:pPr>
              <w:widowControl w:val="0"/>
              <w:spacing w:after="0" w:line="240" w:lineRule="auto"/>
              <w:jc w:val="center"/>
              <w:rPr>
                <w:rFonts w:eastAsia="Times New Roman"/>
                <w:i/>
                <w:snapToGrid w:val="0"/>
                <w:sz w:val="21"/>
                <w:szCs w:val="21"/>
                <w:lang w:val="en-US" w:eastAsia="en-US"/>
              </w:rPr>
            </w:pPr>
            <w:r w:rsidRPr="000902D5">
              <w:rPr>
                <w:rFonts w:eastAsia="Times New Roman"/>
                <w:snapToGrid w:val="0"/>
                <w:sz w:val="21"/>
                <w:szCs w:val="21"/>
                <w:lang w:val="en-US" w:eastAsia="en-US"/>
              </w:rPr>
              <w:t>Yield point</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F</w:t>
            </w:r>
            <w:r w:rsidRPr="000902D5">
              <w:rPr>
                <w:rFonts w:eastAsia="Times New Roman"/>
                <w:snapToGrid w:val="0"/>
                <w:sz w:val="21"/>
                <w:szCs w:val="21"/>
                <w:vertAlign w:val="subscript"/>
                <w:lang w:val="en-US" w:eastAsia="en-US"/>
              </w:rPr>
              <w:t>y</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Cs w:val="24"/>
                <w:shd w:val="clear" w:color="auto" w:fill="FFFFFF"/>
                <w:lang w:val="en-US" w:eastAsia="en-US"/>
              </w:rPr>
              <w:sym w:font="Symbol" w:char="F0B4"/>
            </w:r>
            <w:r w:rsidRPr="000902D5">
              <w:rPr>
                <w:rFonts w:eastAsia="Times New Roman" w:hint="eastAsia"/>
                <w:snapToGrid w:val="0"/>
                <w:szCs w:val="24"/>
                <w:shd w:val="clear" w:color="auto" w:fill="FFFFFF"/>
                <w:lang w:val="en-US" w:eastAsia="en-US"/>
              </w:rPr>
              <w:t>10</w:t>
            </w:r>
            <w:r w:rsidRPr="000902D5">
              <w:rPr>
                <w:rFonts w:eastAsia="Times New Roman" w:hint="eastAsia"/>
                <w:snapToGrid w:val="0"/>
                <w:szCs w:val="24"/>
                <w:shd w:val="clear" w:color="auto" w:fill="FFFFFF"/>
                <w:vertAlign w:val="superscript"/>
                <w:lang w:val="en-US" w:eastAsia="en-US"/>
              </w:rPr>
              <w:t>5</w:t>
            </w:r>
            <w:r w:rsidRPr="000902D5">
              <w:rPr>
                <w:rFonts w:eastAsia="Times New Roman"/>
                <w:snapToGrid w:val="0"/>
                <w:sz w:val="21"/>
                <w:szCs w:val="21"/>
                <w:lang w:val="en-US" w:eastAsia="en-US"/>
              </w:rPr>
              <w:t>N)</w:t>
            </w:r>
          </w:p>
        </w:tc>
        <w:tc>
          <w:tcPr>
            <w:tcW w:w="893"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1.0</w:t>
            </w:r>
          </w:p>
        </w:tc>
        <w:tc>
          <w:tcPr>
            <w:tcW w:w="709"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957"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2.0</w:t>
            </w:r>
          </w:p>
        </w:tc>
        <w:tc>
          <w:tcPr>
            <w:tcW w:w="872"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844"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780"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765"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1070"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0.5</w:t>
            </w:r>
          </w:p>
        </w:tc>
      </w:tr>
      <w:tr w:rsidR="000902D5" w:rsidRPr="000902D5" w:rsidTr="00B97EDB">
        <w:trPr>
          <w:trHeight w:val="285"/>
          <w:jc w:val="center"/>
        </w:trPr>
        <w:tc>
          <w:tcPr>
            <w:tcW w:w="2856" w:type="dxa"/>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Initial stiffness</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K</w:t>
            </w:r>
            <w:r w:rsidRPr="000902D5">
              <w:rPr>
                <w:rFonts w:eastAsia="Times New Roman"/>
                <w:snapToGrid w:val="0"/>
                <w:sz w:val="21"/>
                <w:szCs w:val="21"/>
                <w:vertAlign w:val="subscript"/>
                <w:lang w:val="en-US" w:eastAsia="en-US"/>
              </w:rPr>
              <w:t>u</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Cs w:val="24"/>
                <w:shd w:val="clear" w:color="auto" w:fill="FFFFFF"/>
                <w:lang w:val="en-US" w:eastAsia="en-US"/>
              </w:rPr>
              <w:sym w:font="Symbol" w:char="F0B4"/>
            </w:r>
            <w:r w:rsidRPr="000902D5">
              <w:rPr>
                <w:rFonts w:eastAsia="Times New Roman" w:hint="eastAsia"/>
                <w:snapToGrid w:val="0"/>
                <w:szCs w:val="24"/>
                <w:shd w:val="clear" w:color="auto" w:fill="FFFFFF"/>
                <w:lang w:val="en-US" w:eastAsia="en-US"/>
              </w:rPr>
              <w:t>10</w:t>
            </w:r>
            <w:r w:rsidRPr="000902D5">
              <w:rPr>
                <w:rFonts w:eastAsia="Times New Roman" w:hint="eastAsia"/>
                <w:snapToGrid w:val="0"/>
                <w:szCs w:val="24"/>
                <w:shd w:val="clear" w:color="auto" w:fill="FFFFFF"/>
                <w:vertAlign w:val="superscript"/>
                <w:lang w:val="en-US" w:eastAsia="en-US"/>
              </w:rPr>
              <w:t>7</w:t>
            </w:r>
            <w:r w:rsidRPr="000902D5">
              <w:rPr>
                <w:rFonts w:eastAsia="Times New Roman"/>
                <w:snapToGrid w:val="0"/>
                <w:szCs w:val="24"/>
                <w:shd w:val="clear" w:color="auto" w:fill="FFFFFF"/>
                <w:vertAlign w:val="superscript"/>
                <w:lang w:val="en-US" w:eastAsia="en-US"/>
              </w:rPr>
              <w:t xml:space="preserve"> </w:t>
            </w:r>
            <w:r w:rsidRPr="000902D5">
              <w:rPr>
                <w:rFonts w:eastAsia="Times New Roman"/>
                <w:snapToGrid w:val="0"/>
                <w:sz w:val="21"/>
                <w:szCs w:val="21"/>
                <w:lang w:val="en-US" w:eastAsia="en-US"/>
              </w:rPr>
              <w:t>N/m)</w:t>
            </w:r>
          </w:p>
        </w:tc>
        <w:tc>
          <w:tcPr>
            <w:tcW w:w="893"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709"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957"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872"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0.9</w:t>
            </w:r>
          </w:p>
        </w:tc>
        <w:tc>
          <w:tcPr>
            <w:tcW w:w="844"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2.15</w:t>
            </w:r>
          </w:p>
        </w:tc>
        <w:tc>
          <w:tcPr>
            <w:tcW w:w="78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765"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107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r>
      <w:tr w:rsidR="000902D5" w:rsidRPr="000902D5" w:rsidTr="00B97EDB">
        <w:trPr>
          <w:trHeight w:val="285"/>
          <w:jc w:val="center"/>
        </w:trPr>
        <w:tc>
          <w:tcPr>
            <w:tcW w:w="2856" w:type="dxa"/>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 xml:space="preserve">Hardening ratio </w:t>
            </w:r>
            <w:r w:rsidRPr="000902D5">
              <w:rPr>
                <w:rFonts w:eastAsia="Times New Roman"/>
                <w:i/>
                <w:snapToGrid w:val="0"/>
                <w:sz w:val="21"/>
                <w:szCs w:val="21"/>
                <w:lang w:val="en-US" w:eastAsia="en-US"/>
              </w:rPr>
              <w:t>α</w:t>
            </w:r>
          </w:p>
        </w:tc>
        <w:tc>
          <w:tcPr>
            <w:tcW w:w="893"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709"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957"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872"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844"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78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0.08</w:t>
            </w:r>
          </w:p>
        </w:tc>
        <w:tc>
          <w:tcPr>
            <w:tcW w:w="765"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0.32</w:t>
            </w:r>
          </w:p>
        </w:tc>
        <w:tc>
          <w:tcPr>
            <w:tcW w:w="107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r>
      <w:tr w:rsidR="000902D5" w:rsidRPr="000902D5" w:rsidTr="00B97EDB">
        <w:trPr>
          <w:trHeight w:val="285"/>
          <w:jc w:val="center"/>
        </w:trPr>
        <w:tc>
          <w:tcPr>
            <w:tcW w:w="2856" w:type="dxa"/>
            <w:tcBorders>
              <w:bottom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Effective horizontal Stiffness</w:t>
            </w:r>
            <w:r w:rsidRPr="000902D5">
              <w:rPr>
                <w:rFonts w:eastAsia="Times New Roman" w:hint="eastAsia"/>
                <w:snapToGrid w:val="0"/>
                <w:sz w:val="21"/>
                <w:szCs w:val="21"/>
                <w:lang w:val="en-US" w:eastAsia="en-US"/>
              </w:rPr>
              <w:t>(</w:t>
            </w:r>
            <w:r w:rsidRPr="000902D5">
              <w:rPr>
                <w:rFonts w:eastAsia="Times New Roman"/>
                <w:snapToGrid w:val="0"/>
                <w:sz w:val="21"/>
                <w:szCs w:val="21"/>
                <w:shd w:val="clear" w:color="auto" w:fill="FFFFFF"/>
                <w:lang w:val="en-US" w:eastAsia="en-US"/>
              </w:rPr>
              <w:sym w:font="Symbol" w:char="F0B4"/>
            </w:r>
            <w:r w:rsidRPr="000902D5">
              <w:rPr>
                <w:rFonts w:eastAsia="Times New Roman"/>
                <w:snapToGrid w:val="0"/>
                <w:sz w:val="21"/>
                <w:szCs w:val="21"/>
                <w:shd w:val="clear" w:color="auto" w:fill="FFFFFF"/>
                <w:lang w:val="en-US" w:eastAsia="en-US"/>
              </w:rPr>
              <w:t>10</w:t>
            </w:r>
            <w:r w:rsidRPr="000902D5">
              <w:rPr>
                <w:rFonts w:eastAsia="Times New Roman" w:hint="eastAsia"/>
                <w:snapToGrid w:val="0"/>
                <w:sz w:val="21"/>
                <w:szCs w:val="21"/>
                <w:shd w:val="clear" w:color="auto" w:fill="FFFFFF"/>
                <w:vertAlign w:val="superscript"/>
                <w:lang w:val="en-US" w:eastAsia="en-US"/>
              </w:rPr>
              <w:t>6</w:t>
            </w:r>
            <w:r w:rsidRPr="000902D5">
              <w:rPr>
                <w:rFonts w:eastAsia="Times New Roman"/>
                <w:snapToGrid w:val="0"/>
                <w:sz w:val="21"/>
                <w:szCs w:val="21"/>
                <w:shd w:val="clear" w:color="auto" w:fill="FFFFFF"/>
                <w:vertAlign w:val="superscript"/>
                <w:lang w:val="en-US" w:eastAsia="en-US"/>
              </w:rPr>
              <w:t xml:space="preserve"> </w:t>
            </w:r>
            <w:r w:rsidRPr="000902D5">
              <w:rPr>
                <w:rFonts w:eastAsia="Times New Roman"/>
                <w:snapToGrid w:val="0"/>
                <w:sz w:val="21"/>
                <w:szCs w:val="21"/>
                <w:lang w:val="en-US" w:eastAsia="en-US"/>
              </w:rPr>
              <w:t>N/m)</w:t>
            </w:r>
          </w:p>
        </w:tc>
        <w:tc>
          <w:tcPr>
            <w:tcW w:w="893"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2.62</w:t>
            </w:r>
          </w:p>
        </w:tc>
        <w:tc>
          <w:tcPr>
            <w:tcW w:w="709"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2.95</w:t>
            </w:r>
          </w:p>
        </w:tc>
        <w:tc>
          <w:tcPr>
            <w:tcW w:w="957"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3.28</w:t>
            </w:r>
          </w:p>
        </w:tc>
        <w:tc>
          <w:tcPr>
            <w:tcW w:w="872"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2.35</w:t>
            </w:r>
          </w:p>
        </w:tc>
        <w:tc>
          <w:tcPr>
            <w:tcW w:w="844"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4.23</w:t>
            </w:r>
          </w:p>
        </w:tc>
        <w:tc>
          <w:tcPr>
            <w:tcW w:w="78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2.04</w:t>
            </w:r>
          </w:p>
        </w:tc>
        <w:tc>
          <w:tcPr>
            <w:tcW w:w="765"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b/>
                <w:snapToGrid w:val="0"/>
                <w:sz w:val="21"/>
                <w:szCs w:val="21"/>
                <w:lang w:val="en-US" w:eastAsia="en-US"/>
              </w:rPr>
              <w:t>5.16</w:t>
            </w:r>
          </w:p>
        </w:tc>
        <w:tc>
          <w:tcPr>
            <w:tcW w:w="107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2.28</w:t>
            </w:r>
          </w:p>
        </w:tc>
      </w:tr>
      <w:tr w:rsidR="000902D5" w:rsidRPr="000902D5" w:rsidTr="00B97EDB">
        <w:trPr>
          <w:trHeight w:val="285"/>
          <w:jc w:val="center"/>
        </w:trPr>
        <w:tc>
          <w:tcPr>
            <w:tcW w:w="2856" w:type="dxa"/>
            <w:tcBorders>
              <w:top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bookmarkStart w:id="3" w:name="OLE_LINK5" w:colFirst="0" w:colLast="0"/>
            <w:r w:rsidRPr="000902D5">
              <w:rPr>
                <w:rFonts w:eastAsia="Times New Roman"/>
                <w:b/>
                <w:snapToGrid w:val="0"/>
                <w:sz w:val="21"/>
                <w:szCs w:val="21"/>
                <w:lang w:val="en-US" w:eastAsia="en-US"/>
              </w:rPr>
              <w:t>Parameter cases</w:t>
            </w:r>
          </w:p>
        </w:tc>
        <w:tc>
          <w:tcPr>
            <w:tcW w:w="893" w:type="dxa"/>
            <w:tcBorders>
              <w:top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⑨</w:t>
            </w:r>
          </w:p>
        </w:tc>
        <w:tc>
          <w:tcPr>
            <w:tcW w:w="709" w:type="dxa"/>
            <w:tcBorders>
              <w:top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⑩</w:t>
            </w:r>
          </w:p>
        </w:tc>
        <w:tc>
          <w:tcPr>
            <w:tcW w:w="957" w:type="dxa"/>
            <w:tcBorders>
              <w:top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⑪</w:t>
            </w:r>
          </w:p>
        </w:tc>
        <w:tc>
          <w:tcPr>
            <w:tcW w:w="872" w:type="dxa"/>
            <w:tcBorders>
              <w:top w:val="single" w:sz="4" w:space="0" w:color="auto"/>
            </w:tcBorders>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⑫</w:t>
            </w:r>
          </w:p>
        </w:tc>
        <w:tc>
          <w:tcPr>
            <w:tcW w:w="844"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⑬</w:t>
            </w:r>
          </w:p>
        </w:tc>
        <w:tc>
          <w:tcPr>
            <w:tcW w:w="780"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⑭</w:t>
            </w:r>
          </w:p>
        </w:tc>
        <w:tc>
          <w:tcPr>
            <w:tcW w:w="765"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⑮</w:t>
            </w:r>
          </w:p>
        </w:tc>
        <w:tc>
          <w:tcPr>
            <w:tcW w:w="1070" w:type="dxa"/>
            <w:tcBorders>
              <w:top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ascii="Cambria Math" w:eastAsia="Times New Roman" w:hAnsi="Cambria Math" w:cs="Cambria Math"/>
                <w:b/>
                <w:snapToGrid w:val="0"/>
                <w:sz w:val="21"/>
                <w:szCs w:val="21"/>
                <w:lang w:val="en-US" w:eastAsia="en-US"/>
              </w:rPr>
              <w:t>⑯</w:t>
            </w:r>
          </w:p>
        </w:tc>
      </w:tr>
      <w:tr w:rsidR="000902D5" w:rsidRPr="000902D5" w:rsidTr="00B97EDB">
        <w:trPr>
          <w:trHeight w:val="285"/>
          <w:jc w:val="center"/>
        </w:trPr>
        <w:tc>
          <w:tcPr>
            <w:tcW w:w="2856" w:type="dxa"/>
          </w:tcPr>
          <w:p w:rsidR="000902D5" w:rsidRPr="000902D5" w:rsidRDefault="000902D5" w:rsidP="000902D5">
            <w:pPr>
              <w:widowControl w:val="0"/>
              <w:spacing w:after="0" w:line="240" w:lineRule="auto"/>
              <w:jc w:val="center"/>
              <w:rPr>
                <w:rFonts w:eastAsia="Times New Roman"/>
                <w:i/>
                <w:snapToGrid w:val="0"/>
                <w:sz w:val="21"/>
                <w:szCs w:val="21"/>
                <w:lang w:val="en-US" w:eastAsia="en-US"/>
              </w:rPr>
            </w:pPr>
            <w:r w:rsidRPr="000902D5">
              <w:rPr>
                <w:rFonts w:eastAsia="Times New Roman"/>
                <w:snapToGrid w:val="0"/>
                <w:sz w:val="21"/>
                <w:szCs w:val="21"/>
                <w:lang w:val="en-US" w:eastAsia="en-US"/>
              </w:rPr>
              <w:t>Yield point</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F</w:t>
            </w:r>
            <w:r w:rsidRPr="000902D5">
              <w:rPr>
                <w:rFonts w:eastAsia="Times New Roman"/>
                <w:snapToGrid w:val="0"/>
                <w:sz w:val="21"/>
                <w:szCs w:val="21"/>
                <w:vertAlign w:val="subscript"/>
                <w:lang w:val="en-US" w:eastAsia="en-US"/>
              </w:rPr>
              <w:t>y</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Cs w:val="24"/>
                <w:shd w:val="clear" w:color="auto" w:fill="FFFFFF"/>
                <w:lang w:val="en-US" w:eastAsia="en-US"/>
              </w:rPr>
              <w:sym w:font="Symbol" w:char="F0B4"/>
            </w:r>
            <w:r w:rsidRPr="000902D5">
              <w:rPr>
                <w:rFonts w:eastAsia="Times New Roman" w:hint="eastAsia"/>
                <w:snapToGrid w:val="0"/>
                <w:szCs w:val="24"/>
                <w:shd w:val="clear" w:color="auto" w:fill="FFFFFF"/>
                <w:lang w:val="en-US" w:eastAsia="en-US"/>
              </w:rPr>
              <w:t>10</w:t>
            </w:r>
            <w:r w:rsidRPr="000902D5">
              <w:rPr>
                <w:rFonts w:eastAsia="Times New Roman" w:hint="eastAsia"/>
                <w:snapToGrid w:val="0"/>
                <w:szCs w:val="24"/>
                <w:shd w:val="clear" w:color="auto" w:fill="FFFFFF"/>
                <w:vertAlign w:val="superscript"/>
                <w:lang w:val="en-US" w:eastAsia="en-US"/>
              </w:rPr>
              <w:t>5</w:t>
            </w:r>
            <w:r w:rsidRPr="000902D5">
              <w:rPr>
                <w:rFonts w:eastAsia="Times New Roman"/>
                <w:snapToGrid w:val="0"/>
                <w:sz w:val="21"/>
                <w:szCs w:val="21"/>
                <w:lang w:val="en-US" w:eastAsia="en-US"/>
              </w:rPr>
              <w:t>N)</w:t>
            </w:r>
          </w:p>
        </w:tc>
        <w:tc>
          <w:tcPr>
            <w:tcW w:w="893"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2.5</w:t>
            </w:r>
          </w:p>
        </w:tc>
        <w:tc>
          <w:tcPr>
            <w:tcW w:w="709"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3</w:t>
            </w:r>
          </w:p>
        </w:tc>
        <w:tc>
          <w:tcPr>
            <w:tcW w:w="957"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872"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844"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78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765"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c>
          <w:tcPr>
            <w:tcW w:w="107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1.5</w:t>
            </w:r>
          </w:p>
        </w:tc>
      </w:tr>
      <w:tr w:rsidR="000902D5" w:rsidRPr="000902D5" w:rsidTr="00B97EDB">
        <w:trPr>
          <w:trHeight w:val="285"/>
          <w:jc w:val="center"/>
        </w:trPr>
        <w:tc>
          <w:tcPr>
            <w:tcW w:w="2856" w:type="dxa"/>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Initial stiffness</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K</w:t>
            </w:r>
            <w:r w:rsidRPr="000902D5">
              <w:rPr>
                <w:rFonts w:eastAsia="Times New Roman"/>
                <w:snapToGrid w:val="0"/>
                <w:sz w:val="21"/>
                <w:szCs w:val="21"/>
                <w:vertAlign w:val="subscript"/>
                <w:lang w:val="en-US" w:eastAsia="en-US"/>
              </w:rPr>
              <w:t>u</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Cs w:val="24"/>
                <w:shd w:val="clear" w:color="auto" w:fill="FFFFFF"/>
                <w:lang w:val="en-US" w:eastAsia="en-US"/>
              </w:rPr>
              <w:sym w:font="Symbol" w:char="F0B4"/>
            </w:r>
            <w:r w:rsidRPr="000902D5">
              <w:rPr>
                <w:rFonts w:eastAsia="Times New Roman" w:hint="eastAsia"/>
                <w:snapToGrid w:val="0"/>
                <w:szCs w:val="24"/>
                <w:shd w:val="clear" w:color="auto" w:fill="FFFFFF"/>
                <w:lang w:val="en-US" w:eastAsia="en-US"/>
              </w:rPr>
              <w:t>10</w:t>
            </w:r>
            <w:r w:rsidRPr="000902D5">
              <w:rPr>
                <w:rFonts w:eastAsia="Times New Roman" w:hint="eastAsia"/>
                <w:snapToGrid w:val="0"/>
                <w:szCs w:val="24"/>
                <w:shd w:val="clear" w:color="auto" w:fill="FFFFFF"/>
                <w:vertAlign w:val="superscript"/>
                <w:lang w:val="en-US" w:eastAsia="en-US"/>
              </w:rPr>
              <w:t>7</w:t>
            </w:r>
            <w:r w:rsidRPr="000902D5">
              <w:rPr>
                <w:rFonts w:eastAsia="Times New Roman"/>
                <w:snapToGrid w:val="0"/>
                <w:szCs w:val="24"/>
                <w:shd w:val="clear" w:color="auto" w:fill="FFFFFF"/>
                <w:vertAlign w:val="superscript"/>
                <w:lang w:val="en-US" w:eastAsia="en-US"/>
              </w:rPr>
              <w:t xml:space="preserve"> </w:t>
            </w:r>
            <w:r w:rsidRPr="000902D5">
              <w:rPr>
                <w:rFonts w:eastAsia="Times New Roman"/>
                <w:snapToGrid w:val="0"/>
                <w:sz w:val="21"/>
                <w:szCs w:val="21"/>
                <w:lang w:val="en-US" w:eastAsia="en-US"/>
              </w:rPr>
              <w:t>N/m)</w:t>
            </w:r>
          </w:p>
        </w:tc>
        <w:tc>
          <w:tcPr>
            <w:tcW w:w="893"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709"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957"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1.8</w:t>
            </w:r>
          </w:p>
        </w:tc>
        <w:tc>
          <w:tcPr>
            <w:tcW w:w="872"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2.5</w:t>
            </w:r>
          </w:p>
        </w:tc>
        <w:tc>
          <w:tcPr>
            <w:tcW w:w="844"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3</w:t>
            </w:r>
          </w:p>
        </w:tc>
        <w:tc>
          <w:tcPr>
            <w:tcW w:w="78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765"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c>
          <w:tcPr>
            <w:tcW w:w="107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1.3</w:t>
            </w:r>
          </w:p>
        </w:tc>
      </w:tr>
      <w:tr w:rsidR="000902D5" w:rsidRPr="000902D5" w:rsidTr="00B97EDB">
        <w:trPr>
          <w:trHeight w:val="285"/>
          <w:jc w:val="center"/>
        </w:trPr>
        <w:tc>
          <w:tcPr>
            <w:tcW w:w="2856" w:type="dxa"/>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 xml:space="preserve">Hardening ratio </w:t>
            </w:r>
            <w:r w:rsidRPr="000902D5">
              <w:rPr>
                <w:rFonts w:eastAsia="Times New Roman"/>
                <w:i/>
                <w:snapToGrid w:val="0"/>
                <w:sz w:val="21"/>
                <w:szCs w:val="21"/>
                <w:lang w:val="en-US" w:eastAsia="en-US"/>
              </w:rPr>
              <w:t>α</w:t>
            </w:r>
          </w:p>
        </w:tc>
        <w:tc>
          <w:tcPr>
            <w:tcW w:w="893"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709"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957"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872"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844"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0.15</w:t>
            </w:r>
          </w:p>
        </w:tc>
        <w:tc>
          <w:tcPr>
            <w:tcW w:w="78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0.25</w:t>
            </w:r>
          </w:p>
        </w:tc>
        <w:tc>
          <w:tcPr>
            <w:tcW w:w="765"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0.4</w:t>
            </w:r>
          </w:p>
        </w:tc>
        <w:tc>
          <w:tcPr>
            <w:tcW w:w="1070" w:type="dxa"/>
            <w:vAlign w:val="center"/>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 w:val="21"/>
                <w:szCs w:val="21"/>
                <w:lang w:val="en-US" w:eastAsia="en-US"/>
              </w:rPr>
              <w:t>0.5</w:t>
            </w:r>
          </w:p>
        </w:tc>
      </w:tr>
      <w:tr w:rsidR="000902D5" w:rsidRPr="000902D5" w:rsidTr="00B97EDB">
        <w:trPr>
          <w:trHeight w:val="285"/>
          <w:jc w:val="center"/>
        </w:trPr>
        <w:tc>
          <w:tcPr>
            <w:tcW w:w="2856" w:type="dxa"/>
            <w:tcBorders>
              <w:bottom w:val="single" w:sz="4" w:space="0" w:color="auto"/>
            </w:tcBorders>
          </w:tcPr>
          <w:p w:rsidR="000902D5" w:rsidRPr="000902D5" w:rsidRDefault="000902D5" w:rsidP="000902D5">
            <w:pPr>
              <w:widowControl w:val="0"/>
              <w:spacing w:after="0" w:line="240" w:lineRule="auto"/>
              <w:jc w:val="center"/>
              <w:rPr>
                <w:rFonts w:eastAsia="Times New Roman"/>
                <w:snapToGrid w:val="0"/>
                <w:sz w:val="21"/>
                <w:szCs w:val="21"/>
                <w:lang w:val="en-US" w:eastAsia="en-US"/>
              </w:rPr>
            </w:pPr>
            <w:r w:rsidRPr="000902D5">
              <w:rPr>
                <w:rFonts w:eastAsia="Times New Roman"/>
                <w:snapToGrid w:val="0"/>
                <w:szCs w:val="24"/>
                <w:lang w:val="en-US" w:eastAsia="en-US"/>
              </w:rPr>
              <w:t>Effective horizontal Stiffness</w:t>
            </w:r>
            <w:r w:rsidRPr="000902D5">
              <w:rPr>
                <w:rFonts w:eastAsia="Times New Roman"/>
                <w:snapToGrid w:val="0"/>
                <w:sz w:val="21"/>
                <w:szCs w:val="21"/>
                <w:lang w:val="en-US" w:eastAsia="en-US"/>
              </w:rPr>
              <w:t>(</w:t>
            </w:r>
            <w:r w:rsidRPr="000902D5">
              <w:rPr>
                <w:rFonts w:eastAsia="Times New Roman"/>
                <w:snapToGrid w:val="0"/>
                <w:sz w:val="21"/>
                <w:szCs w:val="21"/>
                <w:shd w:val="clear" w:color="auto" w:fill="FFFFFF"/>
                <w:lang w:val="en-US" w:eastAsia="en-US"/>
              </w:rPr>
              <w:sym w:font="Symbol" w:char="F0B4"/>
            </w:r>
            <w:r w:rsidRPr="000902D5">
              <w:rPr>
                <w:rFonts w:eastAsia="Times New Roman"/>
                <w:snapToGrid w:val="0"/>
                <w:sz w:val="21"/>
                <w:szCs w:val="21"/>
                <w:shd w:val="clear" w:color="auto" w:fill="FFFFFF"/>
                <w:lang w:val="en-US" w:eastAsia="en-US"/>
              </w:rPr>
              <w:t>10</w:t>
            </w:r>
            <w:r w:rsidRPr="000902D5">
              <w:rPr>
                <w:rFonts w:eastAsia="Times New Roman" w:hint="eastAsia"/>
                <w:snapToGrid w:val="0"/>
                <w:sz w:val="21"/>
                <w:szCs w:val="21"/>
                <w:shd w:val="clear" w:color="auto" w:fill="FFFFFF"/>
                <w:vertAlign w:val="superscript"/>
                <w:lang w:val="en-US" w:eastAsia="en-US"/>
              </w:rPr>
              <w:t>6</w:t>
            </w:r>
            <w:r w:rsidRPr="000902D5">
              <w:rPr>
                <w:rFonts w:eastAsia="Times New Roman"/>
                <w:snapToGrid w:val="0"/>
                <w:sz w:val="21"/>
                <w:szCs w:val="21"/>
                <w:shd w:val="clear" w:color="auto" w:fill="FFFFFF"/>
                <w:vertAlign w:val="superscript"/>
                <w:lang w:val="en-US" w:eastAsia="en-US"/>
              </w:rPr>
              <w:t xml:space="preserve"> </w:t>
            </w:r>
            <w:r w:rsidRPr="000902D5">
              <w:rPr>
                <w:rFonts w:eastAsia="Times New Roman"/>
                <w:snapToGrid w:val="0"/>
                <w:sz w:val="21"/>
                <w:szCs w:val="21"/>
                <w:lang w:val="en-US" w:eastAsia="en-US"/>
              </w:rPr>
              <w:t>N/m)</w:t>
            </w:r>
          </w:p>
        </w:tc>
        <w:tc>
          <w:tcPr>
            <w:tcW w:w="893"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3.62</w:t>
            </w:r>
          </w:p>
        </w:tc>
        <w:tc>
          <w:tcPr>
            <w:tcW w:w="709"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3.95</w:t>
            </w:r>
          </w:p>
        </w:tc>
        <w:tc>
          <w:tcPr>
            <w:tcW w:w="957"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3.70</w:t>
            </w:r>
          </w:p>
        </w:tc>
        <w:tc>
          <w:tcPr>
            <w:tcW w:w="872"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4.75</w:t>
            </w:r>
          </w:p>
        </w:tc>
        <w:tc>
          <w:tcPr>
            <w:tcW w:w="844"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1.45</w:t>
            </w:r>
          </w:p>
        </w:tc>
        <w:tc>
          <w:tcPr>
            <w:tcW w:w="78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4.25</w:t>
            </w:r>
          </w:p>
        </w:tc>
        <w:tc>
          <w:tcPr>
            <w:tcW w:w="765"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6.20</w:t>
            </w:r>
          </w:p>
        </w:tc>
        <w:tc>
          <w:tcPr>
            <w:tcW w:w="1070" w:type="dxa"/>
            <w:tcBorders>
              <w:bottom w:val="single" w:sz="4" w:space="0" w:color="auto"/>
            </w:tcBorders>
            <w:vAlign w:val="center"/>
          </w:tcPr>
          <w:p w:rsidR="000902D5" w:rsidRPr="000902D5" w:rsidRDefault="000902D5" w:rsidP="000902D5">
            <w:pPr>
              <w:widowControl w:val="0"/>
              <w:spacing w:after="0" w:line="240" w:lineRule="auto"/>
              <w:jc w:val="center"/>
              <w:rPr>
                <w:rFonts w:eastAsia="Times New Roman"/>
                <w:b/>
                <w:snapToGrid w:val="0"/>
                <w:sz w:val="21"/>
                <w:szCs w:val="21"/>
                <w:lang w:val="en-US" w:eastAsia="en-US"/>
              </w:rPr>
            </w:pPr>
            <w:r w:rsidRPr="000902D5">
              <w:rPr>
                <w:rFonts w:eastAsia="Times New Roman" w:hint="eastAsia"/>
                <w:b/>
                <w:snapToGrid w:val="0"/>
                <w:sz w:val="21"/>
                <w:szCs w:val="21"/>
                <w:lang w:val="en-US" w:eastAsia="en-US"/>
              </w:rPr>
              <w:t>7.50</w:t>
            </w:r>
          </w:p>
        </w:tc>
      </w:tr>
      <w:bookmarkEnd w:id="3"/>
    </w:tbl>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902D5">
        <w:rPr>
          <w:rFonts w:eastAsia="Times New Roman"/>
          <w:b/>
          <w:i/>
          <w:snapToGrid w:val="0"/>
          <w:szCs w:val="24"/>
          <w:lang w:val="en-US" w:eastAsia="en-US"/>
        </w:rPr>
        <w:t>4.1. Sensitivity of seismic response of bridge to bearing yield force F</w:t>
      </w:r>
      <w:r w:rsidRPr="000902D5">
        <w:rPr>
          <w:rFonts w:eastAsia="Times New Roman"/>
          <w:b/>
          <w:snapToGrid w:val="0"/>
          <w:szCs w:val="24"/>
          <w:vertAlign w:val="subscript"/>
          <w:lang w:val="en-US" w:eastAsia="en-US"/>
        </w:rPr>
        <w:t>y</w:t>
      </w:r>
    </w:p>
    <w:p w:rsidR="000902D5" w:rsidRPr="000902D5" w:rsidRDefault="000902D5" w:rsidP="000902D5">
      <w:pPr>
        <w:widowControl w:val="0"/>
        <w:spacing w:after="0" w:line="240" w:lineRule="auto"/>
        <w:jc w:val="both"/>
        <w:rPr>
          <w:rFonts w:eastAsia="Times New Roman"/>
          <w:snapToGrid w:val="0"/>
          <w:sz w:val="20"/>
          <w:szCs w:val="20"/>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Figure 4 and Figure 5 present the seismic response of bridge with different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It can be seen from Figure 4, as the value of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increases gradually, the longitudinal seismic response decreased sharply first and then stabilized. And the degree of the influence of input ground motion is more and more small. An appropriate yield strength value about 2.0E+05 N is provided, which can give small seismic response.</w:t>
      </w:r>
    </w:p>
    <w:p w:rsidR="000902D5" w:rsidRPr="000902D5" w:rsidRDefault="000902D5" w:rsidP="000902D5">
      <w:pPr>
        <w:widowControl w:val="0"/>
        <w:spacing w:after="0" w:line="240" w:lineRule="auto"/>
        <w:jc w:val="both"/>
        <w:rPr>
          <w:rFonts w:eastAsia="Times New Roman"/>
          <w:snapToGrid w:val="0"/>
          <w:sz w:val="20"/>
          <w:szCs w:val="20"/>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noProof/>
          <w:snapToGrid w:val="0"/>
          <w:szCs w:val="24"/>
        </w:rPr>
        <w:drawing>
          <wp:inline distT="0" distB="0" distL="0" distR="0" wp14:anchorId="626953C9" wp14:editId="7DC041DF">
            <wp:extent cx="5429250" cy="3600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0" cy="360045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 w:val="20"/>
          <w:szCs w:val="20"/>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 xml:space="preserve">Figure </w:t>
      </w:r>
      <w:r w:rsidRPr="000902D5">
        <w:rPr>
          <w:rFonts w:eastAsia="Times New Roman" w:hint="eastAsia"/>
          <w:snapToGrid w:val="0"/>
          <w:sz w:val="20"/>
          <w:szCs w:val="20"/>
          <w:lang w:val="en-US" w:eastAsia="en-US"/>
        </w:rPr>
        <w:t>4</w:t>
      </w:r>
      <w:r w:rsidRPr="000902D5">
        <w:rPr>
          <w:rFonts w:eastAsia="Times New Roman"/>
          <w:snapToGrid w:val="0"/>
          <w:sz w:val="20"/>
          <w:szCs w:val="20"/>
          <w:lang w:val="en-US" w:eastAsia="en-US"/>
        </w:rPr>
        <w:t>. The sensibility of the bridge responses to yield under the longitudinal excitation</w:t>
      </w:r>
    </w:p>
    <w:p w:rsidR="000902D5" w:rsidRPr="000902D5" w:rsidRDefault="000902D5" w:rsidP="000902D5">
      <w:pPr>
        <w:widowControl w:val="0"/>
        <w:spacing w:after="0" w:line="240" w:lineRule="auto"/>
        <w:jc w:val="center"/>
        <w:rPr>
          <w:rFonts w:eastAsia="Times New Roman"/>
          <w:snapToGrid w:val="0"/>
          <w:sz w:val="20"/>
          <w:szCs w:val="20"/>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noProof/>
          <w:snapToGrid w:val="0"/>
          <w:szCs w:val="24"/>
        </w:rPr>
        <w:drawing>
          <wp:inline distT="0" distB="0" distL="0" distR="0" wp14:anchorId="53AC11E1" wp14:editId="0B36C6F9">
            <wp:extent cx="5372100" cy="3600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60045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Figure 5. The sensibility of the bridge responses to yield under the transverse excitation</w:t>
      </w: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As can be seen from Figure 5, as the gradual increase of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the transverse seismic response first decreases and then increases. Moreover, when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is greater than 2.5E+05</w:t>
      </w:r>
      <w:r w:rsidRPr="000902D5">
        <w:rPr>
          <w:rFonts w:eastAsia="Times New Roman"/>
          <w:snapToGrid w:val="0"/>
          <w:szCs w:val="24"/>
          <w:vertAlign w:val="superscript"/>
          <w:lang w:val="en-US" w:eastAsia="en-US"/>
        </w:rPr>
        <w:t xml:space="preserve"> </w:t>
      </w:r>
      <w:r w:rsidRPr="000902D5">
        <w:rPr>
          <w:rFonts w:eastAsia="Times New Roman"/>
          <w:snapToGrid w:val="0"/>
          <w:szCs w:val="24"/>
          <w:lang w:val="en-US" w:eastAsia="en-US"/>
        </w:rPr>
        <w:t>N, the variation degree of the ground motion response is very small.</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902D5">
        <w:rPr>
          <w:rFonts w:eastAsia="Times New Roman"/>
          <w:b/>
          <w:i/>
          <w:snapToGrid w:val="0"/>
          <w:szCs w:val="24"/>
          <w:lang w:val="en-US" w:eastAsia="en-US"/>
        </w:rPr>
        <w:t>4.2. Sensitivity of seismic response of Bridges to Ku stiffness before buckling</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Figure 6 and Figure 7 present the curve of seismic response with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under the action of longitudinal bridge and transverse bridge, respectively.</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drawing>
          <wp:inline distT="0" distB="0" distL="0" distR="0" wp14:anchorId="4F7BF6F4" wp14:editId="61BDC6D4">
            <wp:extent cx="5410200" cy="3600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0" cy="360045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Figure 6. The sensibility of the bridge responses to front stiffness under the longitudinal excitation</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drawing>
          <wp:inline distT="0" distB="0" distL="0" distR="0" wp14:anchorId="4881AB33" wp14:editId="3191AADB">
            <wp:extent cx="5308600" cy="36004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8600" cy="360045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Figure 7. The sensibility of the bridge responses to front stiffness under the transverse excitation</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It can be seen from Figure 6 and Figure 7, as the increase of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the shear force at the bottom of the pier and the displacement at the top of the pier both increase gradually. The deformation of the abutment gradually decreases, and the energy consumption of the abutment decreases. Therefore, under the premise of meeting the stiffness requirements of the bridge in normal operation, a smaller the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value can give a smaller seismic response.</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902D5">
        <w:rPr>
          <w:rFonts w:eastAsia="Times New Roman"/>
          <w:b/>
          <w:i/>
          <w:snapToGrid w:val="0"/>
          <w:szCs w:val="24"/>
          <w:lang w:val="en-US" w:eastAsia="en-US"/>
        </w:rPr>
        <w:t xml:space="preserve">4.3. Sensitivity of seismic response of Bridges to bearing hardening ratio </w:t>
      </w:r>
      <w:r w:rsidRPr="000902D5">
        <w:rPr>
          <w:rFonts w:eastAsia="Times New Roman"/>
          <w:b/>
          <w:i/>
          <w:snapToGrid w:val="0"/>
          <w:sz w:val="21"/>
          <w:szCs w:val="21"/>
          <w:lang w:val="en-US" w:eastAsia="en-US"/>
        </w:rPr>
        <w:t>α</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Figure 8 and Figure 9 show the variation curves of the seismic response with hardening ratio under the longitudinal and transverse earthquakes respectively.</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drawing>
          <wp:inline distT="0" distB="0" distL="0" distR="0" wp14:anchorId="3C54598B" wp14:editId="0AFBF600">
            <wp:extent cx="4599415" cy="314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8040" cy="3155506"/>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Figure 8. The sensibility of the bridge responses to hardening ratio under the longitudinal excitation</w:t>
      </w:r>
    </w:p>
    <w:p w:rsidR="000902D5" w:rsidRPr="000902D5" w:rsidRDefault="000902D5" w:rsidP="000902D5">
      <w:pPr>
        <w:widowControl w:val="0"/>
        <w:spacing w:after="0" w:line="240" w:lineRule="auto"/>
        <w:jc w:val="center"/>
        <w:rPr>
          <w:rFonts w:eastAsia="Times New Roman"/>
          <w:snapToGrid w:val="0"/>
          <w:sz w:val="20"/>
          <w:szCs w:val="20"/>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drawing>
          <wp:inline distT="0" distB="0" distL="0" distR="0" wp14:anchorId="7F1922EE" wp14:editId="025E08DD">
            <wp:extent cx="4572000" cy="307877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8698" cy="3083280"/>
                    </a:xfrm>
                    <a:prstGeom prst="rect">
                      <a:avLst/>
                    </a:prstGeom>
                    <a:noFill/>
                    <a:ln>
                      <a:noFill/>
                    </a:ln>
                  </pic:spPr>
                </pic:pic>
              </a:graphicData>
            </a:graphic>
          </wp:inline>
        </w:drawing>
      </w:r>
    </w:p>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Figure 9. The sensibility of the bridge responses to hardening ratio under the transverse excitation</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As can be seen from Figure 8 and Figure 9, the change of hardening ratio significantly changes the seismic response of the bridge. As the hardening ratio increases, the shear force at the bottom of the pier and the displacement at the top of the pier increase gradually, while the deformation of the abutment decreases gradually and the energy consumption of the abutment decreases.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902D5">
        <w:rPr>
          <w:rFonts w:eastAsia="Times New Roman"/>
          <w:b/>
          <w:i/>
          <w:snapToGrid w:val="0"/>
          <w:szCs w:val="24"/>
          <w:lang w:val="en-US" w:eastAsia="en-US"/>
        </w:rPr>
        <w:t>4.4. Sensitivity of seismic response of Bridges to effective horizontal stiffness of supports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Effective stiffness of the bearing is also a main indicator reflecting the bearing performance. The relationship between the effective stiffness and seismic response were plotted in Figure .10 and Figure .11. The bearing effective stiffness in 2.0E+06 N/m ~ 4.0E+06 N/m gives a smaller seismic response. The relation between levels of equivalent stiffness within the scope of bearing parameters was shown in table 4. A suggested value was provided in the following, effective stiffness between 2.0E+06 N/m ~ 4.0E+06 N/m value, before bending stiffness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with 1.3E+07 N/m, yield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y</w:t>
      </w:r>
      <w:r w:rsidRPr="000902D5">
        <w:rPr>
          <w:rFonts w:eastAsia="Times New Roman"/>
          <w:snapToGrid w:val="0"/>
          <w:szCs w:val="24"/>
          <w:lang w:val="en-US" w:eastAsia="en-US"/>
        </w:rPr>
        <w:t xml:space="preserve"> with 1.0 ~ 3.0E+05 N, hardening </w:t>
      </w:r>
      <w:r w:rsidRPr="000902D5">
        <w:rPr>
          <w:rFonts w:eastAsia="Times New Roman" w:hint="eastAsia"/>
          <w:snapToGrid w:val="0"/>
          <w:szCs w:val="24"/>
          <w:lang w:val="en-US" w:eastAsia="en-US"/>
        </w:rPr>
        <w:t>ratio</w:t>
      </w:r>
      <w:r w:rsidRPr="000902D5">
        <w:rPr>
          <w:rFonts w:eastAsia="Times New Roman"/>
          <w:snapToGrid w:val="0"/>
          <w:szCs w:val="24"/>
          <w:lang w:val="en-US" w:eastAsia="en-US"/>
        </w:rPr>
        <w:t xml:space="preserve"> </w:t>
      </w:r>
      <w:r w:rsidRPr="000902D5">
        <w:rPr>
          <w:rFonts w:eastAsia="Times New Roman"/>
          <w:i/>
          <w:snapToGrid w:val="0"/>
          <w:sz w:val="21"/>
          <w:szCs w:val="21"/>
          <w:lang w:val="en-US" w:eastAsia="en-US"/>
        </w:rPr>
        <w:t xml:space="preserve">α </w:t>
      </w:r>
      <w:r w:rsidRPr="000902D5">
        <w:rPr>
          <w:rFonts w:eastAsia="Times New Roman"/>
          <w:snapToGrid w:val="0"/>
          <w:szCs w:val="24"/>
          <w:lang w:val="en-US" w:eastAsia="en-US"/>
        </w:rPr>
        <w:t>0.15.</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Table 4. Three kinds of effective stiffness parameter cases</w:t>
      </w:r>
    </w:p>
    <w:p w:rsidR="000902D5" w:rsidRPr="000902D5" w:rsidRDefault="000902D5" w:rsidP="000902D5">
      <w:pPr>
        <w:widowControl w:val="0"/>
        <w:spacing w:after="0" w:line="240" w:lineRule="auto"/>
        <w:jc w:val="center"/>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7"/>
        <w:gridCol w:w="1042"/>
        <w:gridCol w:w="1024"/>
        <w:gridCol w:w="977"/>
      </w:tblGrid>
      <w:tr w:rsidR="000902D5" w:rsidRPr="000902D5" w:rsidTr="00B97EDB">
        <w:trPr>
          <w:jc w:val="center"/>
        </w:trPr>
        <w:tc>
          <w:tcPr>
            <w:tcW w:w="3777" w:type="dxa"/>
            <w:tcBorders>
              <w:top w:val="single" w:sz="4" w:space="0" w:color="auto"/>
              <w:left w:val="nil"/>
              <w:bottom w:val="single" w:sz="4" w:space="0" w:color="auto"/>
              <w:right w:val="nil"/>
            </w:tcBorders>
            <w:shd w:val="clear" w:color="auto" w:fill="auto"/>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eastAsia="Times New Roman"/>
                <w:b/>
                <w:snapToGrid w:val="0"/>
                <w:sz w:val="21"/>
                <w:szCs w:val="21"/>
                <w:lang w:val="en-US" w:eastAsia="en-US"/>
              </w:rPr>
              <w:t>Parameter cases</w:t>
            </w:r>
          </w:p>
        </w:tc>
        <w:tc>
          <w:tcPr>
            <w:tcW w:w="1042" w:type="dxa"/>
            <w:tcBorders>
              <w:top w:val="single" w:sz="4" w:space="0" w:color="auto"/>
              <w:left w:val="nil"/>
              <w:bottom w:val="single" w:sz="4" w:space="0" w:color="auto"/>
              <w:right w:val="nil"/>
            </w:tcBorders>
            <w:shd w:val="clear" w:color="auto" w:fill="auto"/>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ascii="Cambria Math" w:eastAsia="Times New Roman" w:hAnsi="Cambria Math" w:cs="Cambria Math"/>
                <w:b/>
                <w:snapToGrid w:val="0"/>
                <w:sz w:val="21"/>
                <w:szCs w:val="21"/>
                <w:lang w:val="en-US" w:eastAsia="en-US"/>
              </w:rPr>
              <w:t>①</w:t>
            </w:r>
          </w:p>
        </w:tc>
        <w:tc>
          <w:tcPr>
            <w:tcW w:w="1024" w:type="dxa"/>
            <w:tcBorders>
              <w:top w:val="single" w:sz="4" w:space="0" w:color="auto"/>
              <w:left w:val="nil"/>
              <w:bottom w:val="single" w:sz="4" w:space="0" w:color="auto"/>
              <w:right w:val="nil"/>
            </w:tcBorders>
            <w:shd w:val="clear" w:color="auto" w:fill="auto"/>
          </w:tcPr>
          <w:p w:rsidR="000902D5" w:rsidRPr="000902D5" w:rsidRDefault="000902D5" w:rsidP="000902D5">
            <w:pPr>
              <w:widowControl w:val="0"/>
              <w:spacing w:after="0" w:line="240" w:lineRule="auto"/>
              <w:jc w:val="center"/>
              <w:rPr>
                <w:rFonts w:eastAsia="Times New Roman"/>
                <w:b/>
                <w:snapToGrid w:val="0"/>
                <w:szCs w:val="24"/>
                <w:lang w:val="en-US" w:eastAsia="en-US"/>
              </w:rPr>
            </w:pPr>
            <w:r w:rsidRPr="000902D5">
              <w:rPr>
                <w:rFonts w:ascii="Cambria Math" w:eastAsia="Times New Roman" w:hAnsi="Cambria Math" w:cs="Cambria Math"/>
                <w:b/>
                <w:snapToGrid w:val="0"/>
                <w:sz w:val="21"/>
                <w:szCs w:val="21"/>
                <w:lang w:val="en-US" w:eastAsia="en-US"/>
              </w:rPr>
              <w:t>③</w:t>
            </w:r>
          </w:p>
        </w:tc>
        <w:tc>
          <w:tcPr>
            <w:tcW w:w="977" w:type="dxa"/>
            <w:tcBorders>
              <w:top w:val="single" w:sz="4" w:space="0" w:color="auto"/>
              <w:left w:val="nil"/>
              <w:bottom w:val="single" w:sz="4" w:space="0" w:color="auto"/>
              <w:right w:val="nil"/>
            </w:tcBorders>
            <w:shd w:val="clear" w:color="auto" w:fill="auto"/>
          </w:tcPr>
          <w:p w:rsidR="000902D5" w:rsidRPr="000902D5" w:rsidRDefault="000902D5" w:rsidP="000902D5">
            <w:pPr>
              <w:widowControl w:val="0"/>
              <w:spacing w:after="0" w:line="240" w:lineRule="auto"/>
              <w:jc w:val="distribute"/>
              <w:rPr>
                <w:rFonts w:eastAsia="Times New Roman"/>
                <w:b/>
                <w:snapToGrid w:val="0"/>
                <w:szCs w:val="24"/>
                <w:lang w:val="en-US" w:eastAsia="en-US"/>
              </w:rPr>
            </w:pPr>
            <w:r w:rsidRPr="000902D5">
              <w:rPr>
                <w:rFonts w:ascii="Cambria Math" w:eastAsia="Times New Roman" w:hAnsi="Cambria Math" w:cs="Cambria Math"/>
                <w:b/>
                <w:snapToGrid w:val="0"/>
                <w:sz w:val="21"/>
                <w:szCs w:val="21"/>
                <w:lang w:val="en-US" w:eastAsia="en-US"/>
              </w:rPr>
              <w:t>⑩</w:t>
            </w:r>
          </w:p>
        </w:tc>
      </w:tr>
      <w:tr w:rsidR="000902D5" w:rsidRPr="000902D5" w:rsidTr="00B97EDB">
        <w:trPr>
          <w:jc w:val="center"/>
        </w:trPr>
        <w:tc>
          <w:tcPr>
            <w:tcW w:w="3777" w:type="dxa"/>
            <w:tcBorders>
              <w:top w:val="single" w:sz="4" w:space="0" w:color="auto"/>
              <w:left w:val="nil"/>
              <w:bottom w:val="nil"/>
              <w:right w:val="nil"/>
            </w:tcBorders>
            <w:shd w:val="clear" w:color="auto" w:fill="auto"/>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Yield point</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F</w:t>
            </w:r>
            <w:r w:rsidRPr="000902D5">
              <w:rPr>
                <w:rFonts w:eastAsia="Times New Roman"/>
                <w:snapToGrid w:val="0"/>
                <w:sz w:val="21"/>
                <w:szCs w:val="21"/>
                <w:vertAlign w:val="subscript"/>
                <w:lang w:val="en-US" w:eastAsia="en-US"/>
              </w:rPr>
              <w:t>y</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 w:val="21"/>
                <w:szCs w:val="21"/>
                <w:shd w:val="clear" w:color="auto" w:fill="FFFFFF"/>
                <w:lang w:val="en-US" w:eastAsia="en-US"/>
              </w:rPr>
              <w:sym w:font="Symbol" w:char="F0B4"/>
            </w:r>
            <w:r w:rsidRPr="000902D5">
              <w:rPr>
                <w:rFonts w:eastAsia="Times New Roman"/>
                <w:snapToGrid w:val="0"/>
                <w:sz w:val="21"/>
                <w:szCs w:val="21"/>
                <w:shd w:val="clear" w:color="auto" w:fill="FFFFFF"/>
                <w:lang w:val="en-US" w:eastAsia="en-US"/>
              </w:rPr>
              <w:t>10</w:t>
            </w:r>
            <w:r w:rsidRPr="000902D5">
              <w:rPr>
                <w:rFonts w:eastAsia="Times New Roman"/>
                <w:snapToGrid w:val="0"/>
                <w:sz w:val="21"/>
                <w:szCs w:val="21"/>
                <w:shd w:val="clear" w:color="auto" w:fill="FFFFFF"/>
                <w:vertAlign w:val="superscript"/>
                <w:lang w:val="en-US" w:eastAsia="en-US"/>
              </w:rPr>
              <w:t xml:space="preserve">5 </w:t>
            </w:r>
            <w:r w:rsidRPr="000902D5">
              <w:rPr>
                <w:rFonts w:eastAsia="Times New Roman"/>
                <w:snapToGrid w:val="0"/>
                <w:sz w:val="21"/>
                <w:szCs w:val="21"/>
                <w:lang w:val="en-US" w:eastAsia="en-US"/>
              </w:rPr>
              <w:t>N)</w:t>
            </w:r>
          </w:p>
        </w:tc>
        <w:tc>
          <w:tcPr>
            <w:tcW w:w="1042" w:type="dxa"/>
            <w:tcBorders>
              <w:top w:val="single" w:sz="4" w:space="0" w:color="auto"/>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1.0</w:t>
            </w:r>
          </w:p>
        </w:tc>
        <w:tc>
          <w:tcPr>
            <w:tcW w:w="1024" w:type="dxa"/>
            <w:tcBorders>
              <w:top w:val="single" w:sz="4" w:space="0" w:color="auto"/>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2.0</w:t>
            </w:r>
          </w:p>
        </w:tc>
        <w:tc>
          <w:tcPr>
            <w:tcW w:w="977" w:type="dxa"/>
            <w:tcBorders>
              <w:top w:val="single" w:sz="4" w:space="0" w:color="auto"/>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3</w:t>
            </w:r>
          </w:p>
        </w:tc>
      </w:tr>
      <w:tr w:rsidR="000902D5" w:rsidRPr="000902D5" w:rsidTr="00B97EDB">
        <w:trPr>
          <w:jc w:val="center"/>
        </w:trPr>
        <w:tc>
          <w:tcPr>
            <w:tcW w:w="3777" w:type="dxa"/>
            <w:tcBorders>
              <w:top w:val="nil"/>
              <w:left w:val="nil"/>
              <w:bottom w:val="nil"/>
              <w:right w:val="nil"/>
            </w:tcBorders>
            <w:shd w:val="clear" w:color="auto" w:fill="auto"/>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Bending stiffness</w:t>
            </w:r>
            <w:r w:rsidRPr="000902D5">
              <w:rPr>
                <w:rFonts w:eastAsia="Times New Roman" w:hint="eastAsia"/>
                <w:snapToGrid w:val="0"/>
                <w:sz w:val="21"/>
                <w:szCs w:val="21"/>
                <w:lang w:val="en-US" w:eastAsia="en-US"/>
              </w:rPr>
              <w:t xml:space="preserve"> </w:t>
            </w:r>
            <w:r w:rsidRPr="000902D5">
              <w:rPr>
                <w:rFonts w:eastAsia="Times New Roman"/>
                <w:i/>
                <w:snapToGrid w:val="0"/>
                <w:sz w:val="21"/>
                <w:szCs w:val="21"/>
                <w:lang w:val="en-US" w:eastAsia="en-US"/>
              </w:rPr>
              <w:t>K</w:t>
            </w:r>
            <w:r w:rsidRPr="000902D5">
              <w:rPr>
                <w:rFonts w:eastAsia="Times New Roman"/>
                <w:snapToGrid w:val="0"/>
                <w:sz w:val="21"/>
                <w:szCs w:val="21"/>
                <w:vertAlign w:val="subscript"/>
                <w:lang w:val="en-US" w:eastAsia="en-US"/>
              </w:rPr>
              <w:t>u</w:t>
            </w:r>
            <w:r w:rsidRPr="000902D5">
              <w:rPr>
                <w:rFonts w:eastAsia="Times New Roman"/>
                <w:i/>
                <w:snapToGrid w:val="0"/>
                <w:sz w:val="21"/>
                <w:szCs w:val="21"/>
                <w:lang w:val="en-US" w:eastAsia="en-US"/>
              </w:rPr>
              <w:t xml:space="preserve"> </w:t>
            </w:r>
            <w:r w:rsidRPr="000902D5">
              <w:rPr>
                <w:rFonts w:eastAsia="Times New Roman"/>
                <w:snapToGrid w:val="0"/>
                <w:sz w:val="21"/>
                <w:szCs w:val="21"/>
                <w:lang w:val="en-US" w:eastAsia="en-US"/>
              </w:rPr>
              <w:t>(</w:t>
            </w:r>
            <w:r w:rsidRPr="000902D5">
              <w:rPr>
                <w:rFonts w:eastAsia="Times New Roman"/>
                <w:snapToGrid w:val="0"/>
                <w:sz w:val="21"/>
                <w:szCs w:val="21"/>
                <w:shd w:val="clear" w:color="auto" w:fill="FFFFFF"/>
                <w:lang w:val="en-US" w:eastAsia="en-US"/>
              </w:rPr>
              <w:sym w:font="Symbol" w:char="F0B4"/>
            </w:r>
            <w:r w:rsidRPr="000902D5">
              <w:rPr>
                <w:rFonts w:eastAsia="Times New Roman"/>
                <w:snapToGrid w:val="0"/>
                <w:sz w:val="21"/>
                <w:szCs w:val="21"/>
                <w:shd w:val="clear" w:color="auto" w:fill="FFFFFF"/>
                <w:lang w:val="en-US" w:eastAsia="en-US"/>
              </w:rPr>
              <w:t>10</w:t>
            </w:r>
            <w:r w:rsidRPr="000902D5">
              <w:rPr>
                <w:rFonts w:eastAsia="Times New Roman"/>
                <w:snapToGrid w:val="0"/>
                <w:sz w:val="21"/>
                <w:szCs w:val="21"/>
                <w:shd w:val="clear" w:color="auto" w:fill="FFFFFF"/>
                <w:vertAlign w:val="superscript"/>
                <w:lang w:val="en-US" w:eastAsia="en-US"/>
              </w:rPr>
              <w:t xml:space="preserve">7 </w:t>
            </w:r>
            <w:r w:rsidRPr="000902D5">
              <w:rPr>
                <w:rFonts w:eastAsia="Times New Roman"/>
                <w:snapToGrid w:val="0"/>
                <w:sz w:val="21"/>
                <w:szCs w:val="21"/>
                <w:lang w:val="en-US" w:eastAsia="en-US"/>
              </w:rPr>
              <w:t>N/m)</w:t>
            </w:r>
          </w:p>
        </w:tc>
        <w:tc>
          <w:tcPr>
            <w:tcW w:w="1042" w:type="dxa"/>
            <w:tcBorders>
              <w:top w:val="nil"/>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1.3</w:t>
            </w:r>
          </w:p>
        </w:tc>
        <w:tc>
          <w:tcPr>
            <w:tcW w:w="1024" w:type="dxa"/>
            <w:tcBorders>
              <w:top w:val="nil"/>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1.3</w:t>
            </w:r>
          </w:p>
        </w:tc>
        <w:tc>
          <w:tcPr>
            <w:tcW w:w="977" w:type="dxa"/>
            <w:tcBorders>
              <w:top w:val="nil"/>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1.3</w:t>
            </w:r>
          </w:p>
        </w:tc>
      </w:tr>
      <w:tr w:rsidR="000902D5" w:rsidRPr="000902D5" w:rsidTr="00B97EDB">
        <w:trPr>
          <w:jc w:val="center"/>
        </w:trPr>
        <w:tc>
          <w:tcPr>
            <w:tcW w:w="3777" w:type="dxa"/>
            <w:tcBorders>
              <w:top w:val="nil"/>
              <w:left w:val="nil"/>
              <w:bottom w:val="nil"/>
              <w:right w:val="nil"/>
            </w:tcBorders>
            <w:shd w:val="clear" w:color="auto" w:fill="auto"/>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 xml:space="preserve">Hardening ratio </w:t>
            </w:r>
            <w:r w:rsidRPr="000902D5">
              <w:rPr>
                <w:rFonts w:eastAsia="Times New Roman"/>
                <w:i/>
                <w:snapToGrid w:val="0"/>
                <w:sz w:val="21"/>
                <w:szCs w:val="21"/>
                <w:lang w:val="en-US" w:eastAsia="en-US"/>
              </w:rPr>
              <w:t>α</w:t>
            </w:r>
          </w:p>
        </w:tc>
        <w:tc>
          <w:tcPr>
            <w:tcW w:w="1042" w:type="dxa"/>
            <w:tcBorders>
              <w:top w:val="nil"/>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0.15</w:t>
            </w:r>
          </w:p>
        </w:tc>
        <w:tc>
          <w:tcPr>
            <w:tcW w:w="1024" w:type="dxa"/>
            <w:tcBorders>
              <w:top w:val="nil"/>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0.15</w:t>
            </w:r>
          </w:p>
        </w:tc>
        <w:tc>
          <w:tcPr>
            <w:tcW w:w="977" w:type="dxa"/>
            <w:tcBorders>
              <w:top w:val="nil"/>
              <w:left w:val="nil"/>
              <w:bottom w:val="nil"/>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0.15</w:t>
            </w:r>
          </w:p>
        </w:tc>
      </w:tr>
      <w:tr w:rsidR="000902D5" w:rsidRPr="000902D5" w:rsidTr="00B97EDB">
        <w:trPr>
          <w:jc w:val="center"/>
        </w:trPr>
        <w:tc>
          <w:tcPr>
            <w:tcW w:w="3777" w:type="dxa"/>
            <w:tcBorders>
              <w:top w:val="nil"/>
              <w:left w:val="nil"/>
              <w:bottom w:val="single" w:sz="4" w:space="0" w:color="auto"/>
              <w:right w:val="nil"/>
            </w:tcBorders>
            <w:shd w:val="clear" w:color="auto" w:fill="auto"/>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snapToGrid w:val="0"/>
                <w:sz w:val="21"/>
                <w:szCs w:val="21"/>
                <w:lang w:val="en-US" w:eastAsia="en-US"/>
              </w:rPr>
              <w:t>Horizontal effective stiffness(</w:t>
            </w:r>
            <w:r w:rsidRPr="000902D5">
              <w:rPr>
                <w:rFonts w:eastAsia="Times New Roman"/>
                <w:snapToGrid w:val="0"/>
                <w:sz w:val="21"/>
                <w:szCs w:val="21"/>
                <w:shd w:val="clear" w:color="auto" w:fill="FFFFFF"/>
                <w:lang w:val="en-US" w:eastAsia="en-US"/>
              </w:rPr>
              <w:sym w:font="Symbol" w:char="F0B4"/>
            </w:r>
            <w:r w:rsidRPr="000902D5">
              <w:rPr>
                <w:rFonts w:eastAsia="Times New Roman"/>
                <w:snapToGrid w:val="0"/>
                <w:sz w:val="21"/>
                <w:szCs w:val="21"/>
                <w:shd w:val="clear" w:color="auto" w:fill="FFFFFF"/>
                <w:lang w:val="en-US" w:eastAsia="en-US"/>
              </w:rPr>
              <w:t>10</w:t>
            </w:r>
            <w:r w:rsidRPr="000902D5">
              <w:rPr>
                <w:rFonts w:eastAsia="Times New Roman" w:hint="eastAsia"/>
                <w:snapToGrid w:val="0"/>
                <w:sz w:val="21"/>
                <w:szCs w:val="21"/>
                <w:shd w:val="clear" w:color="auto" w:fill="FFFFFF"/>
                <w:vertAlign w:val="superscript"/>
                <w:lang w:val="en-US" w:eastAsia="en-US"/>
              </w:rPr>
              <w:t>6</w:t>
            </w:r>
            <w:r w:rsidRPr="000902D5">
              <w:rPr>
                <w:rFonts w:eastAsia="Times New Roman"/>
                <w:snapToGrid w:val="0"/>
                <w:sz w:val="21"/>
                <w:szCs w:val="21"/>
                <w:shd w:val="clear" w:color="auto" w:fill="FFFFFF"/>
                <w:vertAlign w:val="superscript"/>
                <w:lang w:val="en-US" w:eastAsia="en-US"/>
              </w:rPr>
              <w:t xml:space="preserve"> </w:t>
            </w:r>
            <w:r w:rsidRPr="000902D5">
              <w:rPr>
                <w:rFonts w:eastAsia="Times New Roman"/>
                <w:snapToGrid w:val="0"/>
                <w:sz w:val="21"/>
                <w:szCs w:val="21"/>
                <w:lang w:val="en-US" w:eastAsia="en-US"/>
              </w:rPr>
              <w:t>N/m)</w:t>
            </w:r>
          </w:p>
        </w:tc>
        <w:tc>
          <w:tcPr>
            <w:tcW w:w="1042" w:type="dxa"/>
            <w:tcBorders>
              <w:top w:val="nil"/>
              <w:left w:val="nil"/>
              <w:bottom w:val="single" w:sz="4" w:space="0" w:color="auto"/>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b/>
                <w:snapToGrid w:val="0"/>
                <w:sz w:val="21"/>
                <w:szCs w:val="21"/>
                <w:lang w:val="en-US" w:eastAsia="en-US"/>
              </w:rPr>
              <w:t>2.62</w:t>
            </w:r>
          </w:p>
        </w:tc>
        <w:tc>
          <w:tcPr>
            <w:tcW w:w="1024" w:type="dxa"/>
            <w:tcBorders>
              <w:top w:val="nil"/>
              <w:left w:val="nil"/>
              <w:bottom w:val="single" w:sz="4" w:space="0" w:color="auto"/>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b/>
                <w:snapToGrid w:val="0"/>
                <w:sz w:val="21"/>
                <w:szCs w:val="21"/>
                <w:lang w:val="en-US" w:eastAsia="en-US"/>
              </w:rPr>
              <w:t>3.28</w:t>
            </w:r>
          </w:p>
        </w:tc>
        <w:tc>
          <w:tcPr>
            <w:tcW w:w="977" w:type="dxa"/>
            <w:tcBorders>
              <w:top w:val="nil"/>
              <w:left w:val="nil"/>
              <w:bottom w:val="single" w:sz="4" w:space="0" w:color="auto"/>
              <w:right w:val="nil"/>
            </w:tcBorders>
            <w:shd w:val="clear" w:color="auto" w:fill="auto"/>
            <w:vAlign w:val="center"/>
          </w:tcPr>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hint="eastAsia"/>
                <w:b/>
                <w:snapToGrid w:val="0"/>
                <w:sz w:val="21"/>
                <w:szCs w:val="21"/>
                <w:lang w:val="en-US" w:eastAsia="en-US"/>
              </w:rPr>
              <w:t>3.95</w:t>
            </w:r>
          </w:p>
        </w:tc>
      </w:tr>
    </w:tbl>
    <w:p w:rsidR="000902D5" w:rsidRPr="000902D5" w:rsidRDefault="000902D5" w:rsidP="000902D5">
      <w:pPr>
        <w:widowControl w:val="0"/>
        <w:spacing w:after="0" w:line="240" w:lineRule="auto"/>
        <w:jc w:val="center"/>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drawing>
          <wp:inline distT="0" distB="0" distL="0" distR="0" wp14:anchorId="6C86B843" wp14:editId="0757C21B">
            <wp:extent cx="5194300" cy="39179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4300" cy="3917950"/>
                    </a:xfrm>
                    <a:prstGeom prst="rect">
                      <a:avLst/>
                    </a:prstGeom>
                    <a:noFill/>
                    <a:ln>
                      <a:noFill/>
                    </a:ln>
                  </pic:spPr>
                </pic:pic>
              </a:graphicData>
            </a:graphic>
          </wp:inline>
        </w:drawing>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0"/>
          <w:lang w:val="en-US" w:eastAsia="en-US"/>
        </w:rPr>
      </w:pPr>
      <w:r w:rsidRPr="000902D5">
        <w:rPr>
          <w:rFonts w:eastAsia="Times New Roman"/>
          <w:snapToGrid w:val="0"/>
          <w:sz w:val="20"/>
          <w:szCs w:val="20"/>
          <w:lang w:val="en-US" w:eastAsia="en-US"/>
        </w:rPr>
        <w:t>Figure 10. The sensibility of the longitudinal bridge responses to effective stiffness</w:t>
      </w:r>
    </w:p>
    <w:p w:rsidR="000902D5" w:rsidRPr="000902D5" w:rsidRDefault="000902D5" w:rsidP="000902D5">
      <w:pPr>
        <w:widowControl w:val="0"/>
        <w:spacing w:after="0" w:line="240" w:lineRule="auto"/>
        <w:jc w:val="center"/>
        <w:rPr>
          <w:rFonts w:eastAsia="Times New Roman"/>
          <w:snapToGrid w:val="0"/>
          <w:szCs w:val="24"/>
          <w:lang w:val="en-US" w:eastAsia="en-US"/>
        </w:rPr>
      </w:pPr>
      <w:r w:rsidRPr="000902D5">
        <w:rPr>
          <w:rFonts w:eastAsia="Times New Roman"/>
          <w:noProof/>
          <w:snapToGrid w:val="0"/>
          <w:szCs w:val="24"/>
        </w:rPr>
        <w:drawing>
          <wp:inline distT="0" distB="0" distL="0" distR="0" wp14:anchorId="4CBE2F18" wp14:editId="372188C8">
            <wp:extent cx="5207000" cy="396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000" cy="3968750"/>
                    </a:xfrm>
                    <a:prstGeom prst="rect">
                      <a:avLst/>
                    </a:prstGeom>
                    <a:noFill/>
                    <a:ln>
                      <a:noFill/>
                    </a:ln>
                  </pic:spPr>
                </pic:pic>
              </a:graphicData>
            </a:graphic>
          </wp:inline>
        </w:drawing>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center"/>
        <w:rPr>
          <w:rFonts w:eastAsia="Times New Roman"/>
          <w:snapToGrid w:val="0"/>
          <w:sz w:val="20"/>
          <w:szCs w:val="24"/>
          <w:lang w:val="en-US" w:eastAsia="en-US"/>
        </w:rPr>
      </w:pPr>
      <w:r w:rsidRPr="000902D5">
        <w:rPr>
          <w:rFonts w:eastAsia="Times New Roman"/>
          <w:snapToGrid w:val="0"/>
          <w:sz w:val="20"/>
          <w:szCs w:val="24"/>
          <w:lang w:val="en-US" w:eastAsia="en-US"/>
        </w:rPr>
        <w:t>Figure 11. The sensibility of the transverse bridge responses to effective stiffness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5. Conclusions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(1) With the increase of the yielding force of the bearing, the longitudinal seismic response of the bridge is gradually reduced, tending to be stable, and the influence of the input ground motion is getting smaller and smaller, and finally tends to be consistent; The seismic response decreases first and then increases, and with small change under the ground motion response when the yield force is greater than 2.5E+05 N. The yield force is preferably from 2.0E+05 N to 2.5E+05 N.</w:t>
      </w: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(2) With the increase of pre-yield stiffness and hardening ratio, the seismic response of the bridge increases, the deformation of the bearing decreases, the energy consumption of the bearing decreases, and the overall seismic isolation effect decreases. Furthermore, the seismic response of the bridge is sensitive to the change of hardening ratio. These two parameters are recommended to take small values as far as possible under normal conditions.</w:t>
      </w: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(3) The shearing force of the LRB, the shearing force of the pier bottom and the displacement of the pier top are firstly decreased and then increased with the increase of the horizontal effective stiffness of LRB. The deformation of the LRB decreases with the increase of the horizontal effective stiffness. The energy consumption is reduced, and the seismic response is small when the horizontal effective stiffness is set from 2.0E+06 N/m to 4.0E+06 N/m.</w:t>
      </w:r>
    </w:p>
    <w:p w:rsidR="000902D5" w:rsidRPr="000902D5" w:rsidRDefault="000902D5" w:rsidP="000902D5">
      <w:pPr>
        <w:widowControl w:val="0"/>
        <w:spacing w:after="0" w:line="240" w:lineRule="auto"/>
        <w:jc w:val="both"/>
        <w:rPr>
          <w:rFonts w:eastAsia="Times New Roman"/>
          <w:snapToGrid w:val="0"/>
          <w:szCs w:val="24"/>
          <w:lang w:val="en-US" w:eastAsia="en-US"/>
        </w:rPr>
      </w:pPr>
      <w:r w:rsidRPr="000902D5">
        <w:rPr>
          <w:rFonts w:eastAsia="Times New Roman"/>
          <w:snapToGrid w:val="0"/>
          <w:szCs w:val="24"/>
          <w:lang w:val="en-US" w:eastAsia="en-US"/>
        </w:rPr>
        <w:t xml:space="preserve">(4) For bridges in similar structural form in the supporting project, when the pre-yield stiffness </w:t>
      </w:r>
      <w:r w:rsidRPr="000902D5">
        <w:rPr>
          <w:rFonts w:eastAsia="Times New Roman"/>
          <w:i/>
          <w:snapToGrid w:val="0"/>
          <w:szCs w:val="24"/>
          <w:lang w:val="en-US" w:eastAsia="en-US"/>
        </w:rPr>
        <w:t>K</w:t>
      </w:r>
      <w:r w:rsidRPr="000902D5">
        <w:rPr>
          <w:rFonts w:eastAsia="Times New Roman"/>
          <w:snapToGrid w:val="0"/>
          <w:szCs w:val="24"/>
          <w:vertAlign w:val="subscript"/>
          <w:lang w:val="en-US" w:eastAsia="en-US"/>
        </w:rPr>
        <w:t>u</w:t>
      </w:r>
      <w:r w:rsidRPr="000902D5">
        <w:rPr>
          <w:rFonts w:eastAsia="Times New Roman"/>
          <w:snapToGrid w:val="0"/>
          <w:szCs w:val="24"/>
          <w:lang w:val="en-US" w:eastAsia="en-US"/>
        </w:rPr>
        <w:t xml:space="preserve"> is 1.3E+07 N/m, the yielding force </w:t>
      </w:r>
      <w:r w:rsidRPr="000902D5">
        <w:rPr>
          <w:rFonts w:eastAsia="Times New Roman"/>
          <w:i/>
          <w:snapToGrid w:val="0"/>
          <w:szCs w:val="24"/>
          <w:lang w:val="en-US" w:eastAsia="en-US"/>
        </w:rPr>
        <w:t>F</w:t>
      </w:r>
      <w:r w:rsidRPr="000902D5">
        <w:rPr>
          <w:rFonts w:eastAsia="Times New Roman"/>
          <w:snapToGrid w:val="0"/>
          <w:szCs w:val="24"/>
          <w:vertAlign w:val="subscript"/>
          <w:lang w:val="en-US" w:eastAsia="en-US"/>
        </w:rPr>
        <w:t xml:space="preserve">y </w:t>
      </w:r>
      <w:r w:rsidRPr="000902D5">
        <w:rPr>
          <w:rFonts w:eastAsia="Times New Roman"/>
          <w:snapToGrid w:val="0"/>
          <w:szCs w:val="24"/>
          <w:lang w:val="en-US" w:eastAsia="en-US"/>
        </w:rPr>
        <w:t xml:space="preserve">is between 1.0E+05 </w:t>
      </w:r>
      <w:r w:rsidRPr="000902D5">
        <w:rPr>
          <w:rFonts w:eastAsia="SimSun"/>
          <w:snapToGrid w:val="0"/>
          <w:szCs w:val="24"/>
          <w:lang w:val="en-US" w:eastAsia="zh-CN"/>
        </w:rPr>
        <w:t xml:space="preserve">N </w:t>
      </w:r>
      <w:r w:rsidRPr="000902D5">
        <w:rPr>
          <w:rFonts w:eastAsia="Times New Roman"/>
          <w:snapToGrid w:val="0"/>
          <w:szCs w:val="24"/>
          <w:lang w:val="en-US" w:eastAsia="en-US"/>
        </w:rPr>
        <w:t>and 3.0E+05 N, and the hardening ratio is between 0.08 and 0.15, LRB will have a good performance and the seismic response of the bridge is small. These values can be selected as the optimal LRB parameters.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 xml:space="preserve">6. AcKNowledgments </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0" w:line="240" w:lineRule="auto"/>
        <w:jc w:val="both"/>
        <w:rPr>
          <w:rFonts w:eastAsia="SimSun"/>
          <w:snapToGrid w:val="0"/>
          <w:szCs w:val="24"/>
          <w:lang w:val="en-US" w:eastAsia="zh-CN"/>
        </w:rPr>
      </w:pPr>
      <w:r w:rsidRPr="000902D5">
        <w:rPr>
          <w:rFonts w:eastAsia="SimSun" w:hint="eastAsia"/>
          <w:snapToGrid w:val="0"/>
          <w:szCs w:val="24"/>
          <w:lang w:val="en-US" w:eastAsia="zh-CN"/>
        </w:rPr>
        <w:t>T</w:t>
      </w:r>
      <w:r w:rsidRPr="000902D5">
        <w:rPr>
          <w:rFonts w:eastAsia="SimSun"/>
          <w:snapToGrid w:val="0"/>
          <w:szCs w:val="24"/>
          <w:lang w:val="en-US" w:eastAsia="zh-CN"/>
        </w:rPr>
        <w:t>he authors are grateful for the support by the National Natural Science Foundation of China (Grant No. 51108234), the Natural Science Foundation of Jiangsu Province (Grant No. BK2011803) and the National Natural Science Foundation of China (Grant No. 51178258).</w:t>
      </w:r>
    </w:p>
    <w:p w:rsidR="000902D5" w:rsidRPr="000902D5" w:rsidRDefault="000902D5" w:rsidP="000902D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0902D5" w:rsidRPr="000902D5" w:rsidRDefault="000902D5" w:rsidP="000902D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0902D5" w:rsidRPr="000902D5" w:rsidRDefault="000902D5" w:rsidP="000902D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902D5">
        <w:rPr>
          <w:rFonts w:eastAsia="Times New Roman"/>
          <w:b/>
          <w:caps/>
          <w:snapToGrid w:val="0"/>
          <w:szCs w:val="24"/>
          <w:lang w:val="en-US" w:eastAsia="en-US"/>
        </w:rPr>
        <w:t>7. References</w:t>
      </w:r>
    </w:p>
    <w:p w:rsidR="000902D5" w:rsidRPr="000902D5" w:rsidRDefault="000902D5" w:rsidP="000902D5">
      <w:pPr>
        <w:widowControl w:val="0"/>
        <w:spacing w:after="0" w:line="240" w:lineRule="auto"/>
        <w:jc w:val="both"/>
        <w:rPr>
          <w:rFonts w:eastAsia="Times New Roman"/>
          <w:snapToGrid w:val="0"/>
          <w:szCs w:val="24"/>
          <w:lang w:val="en-US" w:eastAsia="en-US"/>
        </w:rPr>
      </w:pPr>
    </w:p>
    <w:p w:rsidR="000902D5" w:rsidRPr="000902D5" w:rsidRDefault="000902D5" w:rsidP="000902D5">
      <w:pPr>
        <w:widowControl w:val="0"/>
        <w:spacing w:after="120" w:line="240" w:lineRule="auto"/>
        <w:jc w:val="both"/>
        <w:rPr>
          <w:rFonts w:eastAsia="Calibri"/>
          <w:snapToGrid w:val="0"/>
          <w:color w:val="000000"/>
          <w:sz w:val="20"/>
          <w:szCs w:val="20"/>
          <w:lang w:val="en-US" w:eastAsia="zh-CN" w:bidi="en-US"/>
        </w:rPr>
      </w:pPr>
      <w:r w:rsidRPr="000902D5">
        <w:rPr>
          <w:rFonts w:eastAsia="Calibri"/>
          <w:snapToGrid w:val="0"/>
          <w:color w:val="000000"/>
          <w:sz w:val="20"/>
          <w:szCs w:val="20"/>
          <w:lang w:val="en-US" w:eastAsia="en-US" w:bidi="en-US"/>
        </w:rPr>
        <w:t>Beck J. L</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Hall J. F</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(1986) </w:t>
      </w:r>
      <w:r w:rsidRPr="000902D5">
        <w:rPr>
          <w:rFonts w:eastAsia="Calibri"/>
          <w:snapToGrid w:val="0"/>
          <w:color w:val="000000"/>
          <w:sz w:val="20"/>
          <w:szCs w:val="20"/>
          <w:lang w:val="en-US" w:eastAsia="en-US" w:bidi="en-US"/>
        </w:rPr>
        <w:t>Factors contributing to the catastrophe in Mexico City during the earthquake of September</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i/>
          <w:snapToGrid w:val="0"/>
          <w:color w:val="000000"/>
          <w:sz w:val="20"/>
          <w:szCs w:val="20"/>
          <w:lang w:val="en-US" w:eastAsia="en-US" w:bidi="en-US"/>
        </w:rPr>
        <w:t>Geophys Res Lett</w:t>
      </w:r>
      <w:r w:rsidRPr="000902D5">
        <w:rPr>
          <w:rFonts w:eastAsia="Calibri"/>
          <w:snapToGrid w:val="0"/>
          <w:color w:val="000000"/>
          <w:sz w:val="20"/>
          <w:szCs w:val="20"/>
          <w:lang w:val="en-US" w:eastAsia="en-US" w:bidi="en-US"/>
        </w:rPr>
        <w:t>,</w:t>
      </w:r>
      <w:r w:rsidRPr="000902D5">
        <w:rPr>
          <w:rFonts w:eastAsia="Calibri"/>
          <w:i/>
          <w:snapToGrid w:val="0"/>
          <w:color w:val="000000"/>
          <w:sz w:val="20"/>
          <w:szCs w:val="20"/>
          <w:lang w:val="en-US" w:eastAsia="en-US" w:bidi="en-US"/>
        </w:rPr>
        <w:t xml:space="preserve"> </w:t>
      </w:r>
      <w:r w:rsidRPr="000902D5">
        <w:rPr>
          <w:rFonts w:eastAsia="Calibri"/>
          <w:snapToGrid w:val="0"/>
          <w:color w:val="000000"/>
          <w:sz w:val="20"/>
          <w:szCs w:val="20"/>
          <w:lang w:val="en-US" w:eastAsia="en-US" w:bidi="en-US"/>
        </w:rPr>
        <w:t>(13)</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593-596</w:t>
      </w:r>
      <w:r w:rsidRPr="000902D5">
        <w:rPr>
          <w:rFonts w:eastAsia="SimSun"/>
          <w:snapToGrid w:val="0"/>
          <w:color w:val="000000"/>
          <w:sz w:val="20"/>
          <w:szCs w:val="20"/>
          <w:lang w:val="en-US" w:eastAsia="zh-CN" w:bidi="en-US"/>
        </w:rPr>
        <w:t>.</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Calibri"/>
          <w:snapToGrid w:val="0"/>
          <w:color w:val="000000"/>
          <w:sz w:val="20"/>
          <w:szCs w:val="20"/>
          <w:lang w:val="en-US" w:eastAsia="en-US" w:bidi="en-US"/>
        </w:rPr>
        <w:t>Boore D. M</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(2001) </w:t>
      </w:r>
      <w:r w:rsidRPr="000902D5">
        <w:rPr>
          <w:rFonts w:eastAsia="Calibri"/>
          <w:snapToGrid w:val="0"/>
          <w:color w:val="000000"/>
          <w:sz w:val="20"/>
          <w:szCs w:val="20"/>
          <w:lang w:val="en-US" w:eastAsia="en-US" w:bidi="en-US"/>
        </w:rPr>
        <w:t xml:space="preserve">Comparisons of ground motions from the 1999 Chi-Chi earthquake with empirical predictions largely based on data from California. </w:t>
      </w:r>
      <w:r w:rsidRPr="000902D5">
        <w:rPr>
          <w:rFonts w:eastAsia="Calibri"/>
          <w:i/>
          <w:snapToGrid w:val="0"/>
          <w:color w:val="000000"/>
          <w:sz w:val="20"/>
          <w:szCs w:val="20"/>
          <w:lang w:val="en-US" w:eastAsia="en-US" w:bidi="en-US"/>
        </w:rPr>
        <w:t>Bull Seism Soc Amer</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91): 1212-1217</w:t>
      </w:r>
      <w:r w:rsidRPr="000902D5">
        <w:rPr>
          <w:rFonts w:eastAsia="SimSun" w:hint="eastAsia"/>
          <w:snapToGrid w:val="0"/>
          <w:color w:val="000000"/>
          <w:sz w:val="20"/>
          <w:szCs w:val="20"/>
          <w:lang w:val="en-US" w:eastAsia="zh-CN" w:bidi="en-US"/>
        </w:rPr>
        <w:t>.</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SimSun" w:hint="eastAsia"/>
          <w:snapToGrid w:val="0"/>
          <w:color w:val="000000"/>
          <w:sz w:val="20"/>
          <w:szCs w:val="20"/>
          <w:lang w:val="en-US" w:eastAsia="zh-CN" w:bidi="en-US"/>
        </w:rPr>
        <w:t>C</w:t>
      </w:r>
      <w:r w:rsidRPr="000902D5">
        <w:rPr>
          <w:rFonts w:eastAsia="SimSun"/>
          <w:snapToGrid w:val="0"/>
          <w:color w:val="000000"/>
          <w:sz w:val="20"/>
          <w:szCs w:val="20"/>
          <w:lang w:val="en-US" w:eastAsia="zh-CN" w:bidi="en-US"/>
        </w:rPr>
        <w:t xml:space="preserve">ai Y, Xing Y, Hu D. (2008) On sensitivity analysis. </w:t>
      </w:r>
      <w:r w:rsidRPr="000902D5">
        <w:rPr>
          <w:rFonts w:eastAsia="SimSun"/>
          <w:i/>
          <w:snapToGrid w:val="0"/>
          <w:color w:val="000000"/>
          <w:sz w:val="20"/>
          <w:szCs w:val="20"/>
          <w:lang w:val="en-US" w:eastAsia="zh-CN" w:bidi="en-US"/>
        </w:rPr>
        <w:t>Journal of Beijing Normal University (Natural Science)</w:t>
      </w:r>
      <w:r w:rsidRPr="000902D5">
        <w:rPr>
          <w:rFonts w:eastAsia="SimSun"/>
          <w:snapToGrid w:val="0"/>
          <w:color w:val="000000"/>
          <w:sz w:val="20"/>
          <w:szCs w:val="20"/>
          <w:lang w:val="en-US" w:eastAsia="zh-CN" w:bidi="en-US"/>
        </w:rPr>
        <w:t>, (44): 9-16. (in Chinese)</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Calibri"/>
          <w:snapToGrid w:val="0"/>
          <w:color w:val="000000"/>
          <w:sz w:val="20"/>
          <w:szCs w:val="20"/>
          <w:lang w:val="en-US" w:eastAsia="en-US" w:bidi="en-US"/>
        </w:rPr>
        <w:t>Celebi M</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Prince J</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Dietal C et al</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(1987) </w:t>
      </w:r>
      <w:r w:rsidRPr="000902D5">
        <w:rPr>
          <w:rFonts w:eastAsia="Calibri"/>
          <w:snapToGrid w:val="0"/>
          <w:color w:val="000000"/>
          <w:sz w:val="20"/>
          <w:szCs w:val="20"/>
          <w:lang w:val="en-US" w:eastAsia="en-US" w:bidi="en-US"/>
        </w:rPr>
        <w:t>The culprit in Mexico City-amplification of</w:t>
      </w:r>
      <w:r w:rsidRPr="000902D5">
        <w:rPr>
          <w:rFonts w:eastAsia="SimSun"/>
          <w:snapToGrid w:val="0"/>
          <w:color w:val="000000"/>
          <w:sz w:val="20"/>
          <w:szCs w:val="20"/>
          <w:lang w:val="en-US" w:eastAsia="en-US" w:bidi="en-US"/>
        </w:rPr>
        <w:t xml:space="preserve">　</w:t>
      </w:r>
      <w:r w:rsidRPr="000902D5">
        <w:rPr>
          <w:rFonts w:eastAsia="Calibri"/>
          <w:snapToGrid w:val="0"/>
          <w:color w:val="000000"/>
          <w:sz w:val="20"/>
          <w:szCs w:val="20"/>
          <w:lang w:val="en-US" w:eastAsia="en-US" w:bidi="en-US"/>
        </w:rPr>
        <w:t xml:space="preserve">motions. </w:t>
      </w:r>
      <w:r w:rsidRPr="000902D5">
        <w:rPr>
          <w:rFonts w:eastAsia="Calibri"/>
          <w:i/>
          <w:snapToGrid w:val="0"/>
          <w:color w:val="000000"/>
          <w:sz w:val="20"/>
          <w:szCs w:val="20"/>
          <w:lang w:val="en-US" w:eastAsia="en-US" w:bidi="en-US"/>
        </w:rPr>
        <w:t>Earthquake Spectra</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3): 315-328</w:t>
      </w:r>
      <w:r w:rsidRPr="000902D5">
        <w:rPr>
          <w:rFonts w:eastAsia="SimSun"/>
          <w:snapToGrid w:val="0"/>
          <w:color w:val="000000"/>
          <w:sz w:val="20"/>
          <w:szCs w:val="20"/>
          <w:lang w:val="en-US" w:eastAsia="zh-CN" w:bidi="en-US"/>
        </w:rPr>
        <w:t>.</w:t>
      </w:r>
    </w:p>
    <w:p w:rsidR="000902D5" w:rsidRPr="000902D5" w:rsidRDefault="000902D5" w:rsidP="000902D5">
      <w:pPr>
        <w:widowControl w:val="0"/>
        <w:spacing w:after="120" w:line="240" w:lineRule="auto"/>
        <w:jc w:val="both"/>
        <w:rPr>
          <w:rFonts w:eastAsia="Calibri"/>
          <w:snapToGrid w:val="0"/>
          <w:color w:val="000000"/>
          <w:sz w:val="20"/>
          <w:szCs w:val="20"/>
          <w:lang w:val="en-US" w:eastAsia="en-US" w:bidi="en-US"/>
        </w:rPr>
      </w:pPr>
      <w:r w:rsidRPr="000902D5">
        <w:rPr>
          <w:rFonts w:eastAsia="Calibri"/>
          <w:snapToGrid w:val="0"/>
          <w:color w:val="000000"/>
          <w:sz w:val="20"/>
          <w:szCs w:val="20"/>
          <w:lang w:val="en-US" w:eastAsia="en-US" w:bidi="en-US"/>
        </w:rPr>
        <w:t>Fukuwa N</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(2008) </w:t>
      </w:r>
      <w:r w:rsidRPr="000902D5">
        <w:rPr>
          <w:rFonts w:eastAsia="Calibri"/>
          <w:snapToGrid w:val="0"/>
          <w:color w:val="000000"/>
          <w:sz w:val="20"/>
          <w:szCs w:val="20"/>
          <w:lang w:val="en-US" w:eastAsia="en-US" w:bidi="en-US"/>
        </w:rPr>
        <w:t xml:space="preserve">Key parameters governing the dynamic response of long-period structures. </w:t>
      </w:r>
      <w:r w:rsidRPr="000902D5">
        <w:rPr>
          <w:rFonts w:eastAsia="Calibri"/>
          <w:i/>
          <w:snapToGrid w:val="0"/>
          <w:color w:val="000000"/>
          <w:sz w:val="20"/>
          <w:szCs w:val="20"/>
          <w:lang w:val="en-US" w:eastAsia="en-US" w:bidi="en-US"/>
        </w:rPr>
        <w:t>J Seism</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12)</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295-306</w:t>
      </w:r>
      <w:r w:rsidRPr="000902D5">
        <w:rPr>
          <w:rFonts w:eastAsia="SimSun"/>
          <w:snapToGrid w:val="0"/>
          <w:color w:val="000000"/>
          <w:sz w:val="20"/>
          <w:szCs w:val="20"/>
          <w:lang w:val="en-US" w:eastAsia="en-US" w:bidi="en-US"/>
        </w:rPr>
        <w:t>．</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Calibri"/>
          <w:snapToGrid w:val="0"/>
          <w:color w:val="000000"/>
          <w:sz w:val="20"/>
          <w:szCs w:val="20"/>
          <w:lang w:val="en-US" w:eastAsia="en-US" w:bidi="en-US"/>
        </w:rPr>
        <w:t>Koketsu K</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Hatayama K et al</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(2005) </w:t>
      </w:r>
      <w:r w:rsidRPr="000902D5">
        <w:rPr>
          <w:rFonts w:eastAsia="Calibri"/>
          <w:snapToGrid w:val="0"/>
          <w:color w:val="000000"/>
          <w:sz w:val="20"/>
          <w:szCs w:val="20"/>
          <w:lang w:val="en-US" w:eastAsia="en-US" w:bidi="en-US"/>
        </w:rPr>
        <w:t>Damaging long-period ground motions from the 2003 MW8</w:t>
      </w:r>
      <w:r w:rsidRPr="000902D5">
        <w:rPr>
          <w:rFonts w:eastAsia="SimSun" w:hint="eastAsia"/>
          <w:snapToGrid w:val="0"/>
          <w:color w:val="000000"/>
          <w:sz w:val="20"/>
          <w:szCs w:val="20"/>
          <w:lang w:val="en-US" w:eastAsia="zh-CN" w:bidi="en-US"/>
        </w:rPr>
        <w:t>.</w:t>
      </w:r>
      <w:r w:rsidRPr="000902D5">
        <w:rPr>
          <w:rFonts w:eastAsia="Calibri"/>
          <w:snapToGrid w:val="0"/>
          <w:color w:val="000000"/>
          <w:sz w:val="20"/>
          <w:szCs w:val="20"/>
          <w:lang w:val="en-US" w:eastAsia="en-US" w:bidi="en-US"/>
        </w:rPr>
        <w:t>3 Tokachi-oki</w:t>
      </w:r>
      <w:r w:rsidRPr="000902D5">
        <w:rPr>
          <w:rFonts w:eastAsia="SimSun" w:hint="eastAsia"/>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 xml:space="preserve">Japan earthquake. </w:t>
      </w:r>
      <w:r w:rsidRPr="000902D5">
        <w:rPr>
          <w:rFonts w:eastAsia="Calibri"/>
          <w:i/>
          <w:snapToGrid w:val="0"/>
          <w:color w:val="000000"/>
          <w:sz w:val="20"/>
          <w:szCs w:val="20"/>
          <w:lang w:val="en-US" w:eastAsia="en-US" w:bidi="en-US"/>
        </w:rPr>
        <w:t>Seism Res Lett</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76): 67-73</w:t>
      </w:r>
      <w:r w:rsidRPr="000902D5">
        <w:rPr>
          <w:rFonts w:eastAsia="SimSun" w:hint="eastAsia"/>
          <w:snapToGrid w:val="0"/>
          <w:color w:val="000000"/>
          <w:sz w:val="20"/>
          <w:szCs w:val="20"/>
          <w:lang w:val="en-US" w:eastAsia="zh-CN" w:bidi="en-US"/>
        </w:rPr>
        <w:t>.</w:t>
      </w:r>
    </w:p>
    <w:p w:rsidR="000902D5" w:rsidRPr="000902D5" w:rsidRDefault="000902D5" w:rsidP="000902D5">
      <w:pPr>
        <w:widowControl w:val="0"/>
        <w:spacing w:after="120" w:line="240" w:lineRule="auto"/>
        <w:jc w:val="both"/>
        <w:rPr>
          <w:rFonts w:eastAsia="SimSun"/>
          <w:snapToGrid w:val="0"/>
          <w:sz w:val="20"/>
          <w:szCs w:val="20"/>
          <w:lang w:val="en-US" w:eastAsia="zh-CN" w:bidi="en-US"/>
        </w:rPr>
      </w:pPr>
      <w:r w:rsidRPr="000902D5">
        <w:rPr>
          <w:rFonts w:eastAsia="SimSun"/>
          <w:snapToGrid w:val="0"/>
          <w:color w:val="000000"/>
          <w:sz w:val="20"/>
          <w:szCs w:val="20"/>
          <w:lang w:val="en-US" w:eastAsia="zh-CN" w:bidi="en-US"/>
        </w:rPr>
        <w:t xml:space="preserve">Liu X. (2018) Study on </w:t>
      </w:r>
      <w:r w:rsidRPr="000902D5">
        <w:rPr>
          <w:rFonts w:eastAsia="SimSun" w:hint="eastAsia"/>
          <w:snapToGrid w:val="0"/>
          <w:color w:val="000000"/>
          <w:sz w:val="20"/>
          <w:szCs w:val="20"/>
          <w:lang w:val="en-US" w:eastAsia="zh-CN" w:bidi="en-US"/>
        </w:rPr>
        <w:t>u</w:t>
      </w:r>
      <w:r w:rsidRPr="000902D5">
        <w:rPr>
          <w:rFonts w:eastAsia="SimSun"/>
          <w:snapToGrid w:val="0"/>
          <w:color w:val="000000"/>
          <w:sz w:val="20"/>
          <w:szCs w:val="20"/>
          <w:lang w:val="en-US" w:eastAsia="zh-CN" w:bidi="en-US"/>
        </w:rPr>
        <w:t xml:space="preserve">nfavorable seismic behavior of the isolated structure under long-period earthquake and controlling research. </w:t>
      </w:r>
      <w:r w:rsidRPr="000902D5">
        <w:rPr>
          <w:rFonts w:eastAsia="SimSun" w:hint="eastAsia"/>
          <w:snapToGrid w:val="0"/>
          <w:color w:val="000000"/>
          <w:sz w:val="20"/>
          <w:szCs w:val="20"/>
          <w:lang w:val="en-US" w:eastAsia="zh-CN" w:bidi="en-US"/>
        </w:rPr>
        <w:t>P</w:t>
      </w:r>
      <w:r w:rsidRPr="000902D5">
        <w:rPr>
          <w:rFonts w:eastAsia="SimSun"/>
          <w:snapToGrid w:val="0"/>
          <w:color w:val="000000"/>
          <w:sz w:val="20"/>
          <w:szCs w:val="20"/>
          <w:lang w:val="en-US" w:eastAsia="zh-CN" w:bidi="en-US"/>
        </w:rPr>
        <w:t>h. D Dissertation of Xi’an Technological University. (in Chinese)</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Calibri"/>
          <w:snapToGrid w:val="0"/>
          <w:color w:val="000000"/>
          <w:sz w:val="20"/>
          <w:szCs w:val="20"/>
          <w:lang w:val="en-US" w:eastAsia="en-US" w:bidi="en-US"/>
        </w:rPr>
        <w:t>Maeda T</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Sasatani T</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(2008) </w:t>
      </w:r>
      <w:r w:rsidRPr="000902D5">
        <w:rPr>
          <w:rFonts w:eastAsia="Calibri"/>
          <w:snapToGrid w:val="0"/>
          <w:color w:val="000000"/>
          <w:sz w:val="20"/>
          <w:szCs w:val="20"/>
          <w:lang w:val="en-US" w:eastAsia="en-US" w:bidi="en-US"/>
        </w:rPr>
        <w:t xml:space="preserve">Long-period ground motions from the 2003 Tokachioki earthquake. </w:t>
      </w:r>
      <w:r w:rsidRPr="000902D5">
        <w:rPr>
          <w:rFonts w:eastAsia="Calibri"/>
          <w:i/>
          <w:snapToGrid w:val="0"/>
          <w:color w:val="000000"/>
          <w:sz w:val="20"/>
          <w:szCs w:val="20"/>
          <w:lang w:val="en-US" w:eastAsia="en-US" w:bidi="en-US"/>
        </w:rPr>
        <w:t>J Seismol</w:t>
      </w:r>
      <w:r w:rsidRPr="000902D5">
        <w:rPr>
          <w:rFonts w:eastAsia="SimSun" w:hint="eastAsia"/>
          <w:snapToGrid w:val="0"/>
          <w:color w:val="000000"/>
          <w:sz w:val="20"/>
          <w:szCs w:val="20"/>
          <w:lang w:val="en-US" w:eastAsia="zh-CN" w:bidi="en-US"/>
        </w:rPr>
        <w:t>,</w:t>
      </w:r>
      <w:r w:rsidRPr="000902D5">
        <w:rPr>
          <w:rFonts w:eastAsia="SimSun"/>
          <w:snapToGrid w:val="0"/>
          <w:color w:val="000000"/>
          <w:sz w:val="20"/>
          <w:szCs w:val="20"/>
          <w:lang w:val="en-US" w:eastAsia="zh-CN" w:bidi="en-US"/>
        </w:rPr>
        <w:t xml:space="preserve"> (</w:t>
      </w:r>
      <w:r w:rsidRPr="000902D5">
        <w:rPr>
          <w:rFonts w:eastAsia="Calibri"/>
          <w:snapToGrid w:val="0"/>
          <w:color w:val="000000"/>
          <w:sz w:val="20"/>
          <w:szCs w:val="20"/>
          <w:lang w:val="en-US" w:eastAsia="en-US" w:bidi="en-US"/>
        </w:rPr>
        <w:t>12): 243-253</w:t>
      </w:r>
      <w:r w:rsidRPr="000902D5">
        <w:rPr>
          <w:rFonts w:eastAsia="SimSun" w:hint="eastAsia"/>
          <w:snapToGrid w:val="0"/>
          <w:color w:val="000000"/>
          <w:sz w:val="20"/>
          <w:szCs w:val="20"/>
          <w:lang w:val="en-US" w:eastAsia="zh-CN" w:bidi="en-US"/>
        </w:rPr>
        <w:t>.</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SimSun" w:hint="eastAsia"/>
          <w:snapToGrid w:val="0"/>
          <w:color w:val="000000"/>
          <w:sz w:val="20"/>
          <w:szCs w:val="20"/>
          <w:lang w:val="en-US" w:eastAsia="zh-CN" w:bidi="en-US"/>
        </w:rPr>
        <w:t>S</w:t>
      </w:r>
      <w:r w:rsidRPr="000902D5">
        <w:rPr>
          <w:rFonts w:eastAsia="SimSun"/>
          <w:snapToGrid w:val="0"/>
          <w:color w:val="000000"/>
          <w:sz w:val="20"/>
          <w:szCs w:val="20"/>
          <w:lang w:val="en-US" w:eastAsia="zh-CN" w:bidi="en-US"/>
        </w:rPr>
        <w:t xml:space="preserve">un Y, Chen T, Zhuo W et al. (2016) Study on seismic response characteristics of isolated continuous bridges under long-period ground motion. </w:t>
      </w:r>
      <w:r w:rsidRPr="000902D5">
        <w:rPr>
          <w:rFonts w:eastAsia="SimSun"/>
          <w:i/>
          <w:snapToGrid w:val="0"/>
          <w:color w:val="000000"/>
          <w:sz w:val="20"/>
          <w:szCs w:val="20"/>
          <w:lang w:val="en-US" w:eastAsia="zh-CN" w:bidi="en-US"/>
        </w:rPr>
        <w:t>Engineering Mechanic</w:t>
      </w:r>
      <w:r w:rsidRPr="000902D5">
        <w:rPr>
          <w:rFonts w:eastAsia="SimSun"/>
          <w:snapToGrid w:val="0"/>
          <w:color w:val="000000"/>
          <w:sz w:val="20"/>
          <w:szCs w:val="20"/>
          <w:lang w:val="en-US" w:eastAsia="zh-CN" w:bidi="en-US"/>
        </w:rPr>
        <w:t>s, (33): 244-250. (in Chinese)</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SimSun" w:hint="eastAsia"/>
          <w:snapToGrid w:val="0"/>
          <w:color w:val="000000"/>
          <w:sz w:val="20"/>
          <w:szCs w:val="20"/>
          <w:lang w:val="en-US" w:eastAsia="zh-CN" w:bidi="en-US"/>
        </w:rPr>
        <w:t>W</w:t>
      </w:r>
      <w:r w:rsidRPr="000902D5">
        <w:rPr>
          <w:rFonts w:eastAsia="SimSun"/>
          <w:snapToGrid w:val="0"/>
          <w:color w:val="000000"/>
          <w:sz w:val="20"/>
          <w:szCs w:val="20"/>
          <w:lang w:val="en-US" w:eastAsia="zh-CN" w:bidi="en-US"/>
        </w:rPr>
        <w:t xml:space="preserve">ang S. (2017) Parameter characteristics and correlation of typical far-field long-period ground motions. </w:t>
      </w:r>
      <w:r w:rsidRPr="000902D5">
        <w:rPr>
          <w:rFonts w:eastAsia="SimSun"/>
          <w:i/>
          <w:snapToGrid w:val="0"/>
          <w:color w:val="000000"/>
          <w:sz w:val="20"/>
          <w:szCs w:val="20"/>
          <w:lang w:val="en-US" w:eastAsia="zh-CN" w:bidi="en-US"/>
        </w:rPr>
        <w:t>Journal of Henan University of Urban construction</w:t>
      </w:r>
      <w:r w:rsidRPr="000902D5">
        <w:rPr>
          <w:rFonts w:eastAsia="SimSun"/>
          <w:snapToGrid w:val="0"/>
          <w:color w:val="000000"/>
          <w:sz w:val="20"/>
          <w:szCs w:val="20"/>
          <w:lang w:val="en-US" w:eastAsia="zh-CN" w:bidi="en-US"/>
        </w:rPr>
        <w:t>, (26): 30-37. (in Chinese)</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SimSun" w:hint="eastAsia"/>
          <w:snapToGrid w:val="0"/>
          <w:color w:val="000000"/>
          <w:sz w:val="20"/>
          <w:szCs w:val="20"/>
          <w:lang w:val="en-US" w:eastAsia="zh-CN" w:bidi="en-US"/>
        </w:rPr>
        <w:t>W</w:t>
      </w:r>
      <w:r w:rsidRPr="000902D5">
        <w:rPr>
          <w:rFonts w:eastAsia="SimSun"/>
          <w:snapToGrid w:val="0"/>
          <w:color w:val="000000"/>
          <w:sz w:val="20"/>
          <w:szCs w:val="20"/>
          <w:lang w:val="en-US" w:eastAsia="zh-CN" w:bidi="en-US"/>
        </w:rPr>
        <w:t xml:space="preserve">ang Y, Du Y, Hu G et al. (2018) Seismic performance of base-isolated structures under far-field long-period ground motion based on seismic codes. </w:t>
      </w:r>
      <w:r w:rsidRPr="000902D5">
        <w:rPr>
          <w:rFonts w:eastAsia="SimSun"/>
          <w:i/>
          <w:snapToGrid w:val="0"/>
          <w:color w:val="000000"/>
          <w:sz w:val="20"/>
          <w:szCs w:val="20"/>
          <w:lang w:val="en-US" w:eastAsia="zh-CN" w:bidi="en-US"/>
        </w:rPr>
        <w:t>China Earthquake Engineering Journal</w:t>
      </w:r>
      <w:r w:rsidRPr="000902D5">
        <w:rPr>
          <w:rFonts w:eastAsia="SimSun"/>
          <w:snapToGrid w:val="0"/>
          <w:color w:val="000000"/>
          <w:sz w:val="20"/>
          <w:szCs w:val="20"/>
          <w:lang w:val="en-US" w:eastAsia="zh-CN" w:bidi="en-US"/>
        </w:rPr>
        <w:t>, (40): 219-224. (in Chinese)</w:t>
      </w:r>
    </w:p>
    <w:p w:rsidR="000902D5" w:rsidRPr="000902D5" w:rsidRDefault="000902D5" w:rsidP="000902D5">
      <w:pPr>
        <w:widowControl w:val="0"/>
        <w:spacing w:after="120" w:line="240" w:lineRule="auto"/>
        <w:jc w:val="both"/>
        <w:rPr>
          <w:rFonts w:eastAsia="SimSun"/>
          <w:snapToGrid w:val="0"/>
          <w:color w:val="000000"/>
          <w:sz w:val="20"/>
          <w:szCs w:val="20"/>
          <w:lang w:val="en-US" w:eastAsia="zh-CN" w:bidi="en-US"/>
        </w:rPr>
      </w:pPr>
      <w:r w:rsidRPr="000902D5">
        <w:rPr>
          <w:rFonts w:eastAsia="SimSun" w:hint="eastAsia"/>
          <w:snapToGrid w:val="0"/>
          <w:color w:val="000000"/>
          <w:sz w:val="20"/>
          <w:szCs w:val="20"/>
          <w:lang w:val="en-US" w:eastAsia="zh-CN" w:bidi="en-US"/>
        </w:rPr>
        <w:t>X</w:t>
      </w:r>
      <w:r w:rsidRPr="000902D5">
        <w:rPr>
          <w:rFonts w:eastAsia="SimSun"/>
          <w:snapToGrid w:val="0"/>
          <w:color w:val="000000"/>
          <w:sz w:val="20"/>
          <w:szCs w:val="20"/>
          <w:lang w:val="en-US" w:eastAsia="zh-CN" w:bidi="en-US"/>
        </w:rPr>
        <w:t xml:space="preserve">u L, Yu H, Cao W et al. (2010) Evaluation of site dependence and methods for site analysis based on far-field ground motions from the Wenchuan earthquake. </w:t>
      </w:r>
      <w:r w:rsidRPr="000902D5">
        <w:rPr>
          <w:rFonts w:eastAsia="SimSun"/>
          <w:i/>
          <w:snapToGrid w:val="0"/>
          <w:color w:val="000000"/>
          <w:sz w:val="20"/>
          <w:szCs w:val="20"/>
          <w:lang w:val="en-US" w:eastAsia="zh-CN" w:bidi="en-US"/>
        </w:rPr>
        <w:t>ACTA SEISMOLOGICAL SINICA</w:t>
      </w:r>
      <w:r w:rsidRPr="000902D5">
        <w:rPr>
          <w:rFonts w:eastAsia="SimSun"/>
          <w:snapToGrid w:val="0"/>
          <w:color w:val="000000"/>
          <w:sz w:val="20"/>
          <w:szCs w:val="20"/>
          <w:lang w:val="en-US" w:eastAsia="zh-CN" w:bidi="en-US"/>
        </w:rPr>
        <w:t>, (32): 175-183. (in Chinese)</w:t>
      </w:r>
    </w:p>
    <w:p w:rsidR="000902D5" w:rsidRPr="000902D5" w:rsidRDefault="000902D5" w:rsidP="000902D5">
      <w:pPr>
        <w:widowControl w:val="0"/>
        <w:spacing w:after="0" w:line="240" w:lineRule="auto"/>
        <w:jc w:val="both"/>
        <w:rPr>
          <w:rFonts w:eastAsia="SimSun"/>
          <w:snapToGrid w:val="0"/>
          <w:color w:val="000000"/>
          <w:sz w:val="20"/>
          <w:szCs w:val="20"/>
          <w:lang w:val="en-US" w:eastAsia="zh-CN" w:bidi="en-US"/>
        </w:rPr>
      </w:pPr>
      <w:r w:rsidRPr="000902D5">
        <w:rPr>
          <w:rFonts w:eastAsia="SimSun"/>
          <w:snapToGrid w:val="0"/>
          <w:color w:val="000000"/>
          <w:sz w:val="20"/>
          <w:szCs w:val="20"/>
          <w:lang w:val="en-US" w:eastAsia="zh-CN" w:bidi="en-US"/>
        </w:rPr>
        <w:t xml:space="preserve">Zhou F, Cui H, Shigetaka ABE et al. (2012) Inspection report of the disaster of the east Japan earthquake by Sino-Japanese joint mission. </w:t>
      </w:r>
      <w:r w:rsidRPr="000902D5">
        <w:rPr>
          <w:rFonts w:eastAsia="SimSun"/>
          <w:i/>
          <w:snapToGrid w:val="0"/>
          <w:color w:val="000000"/>
          <w:sz w:val="20"/>
          <w:szCs w:val="20"/>
          <w:lang w:val="en-US" w:eastAsia="zh-CN" w:bidi="en-US"/>
        </w:rPr>
        <w:t>Building Structure</w:t>
      </w:r>
      <w:r w:rsidRPr="000902D5">
        <w:rPr>
          <w:rFonts w:eastAsia="SimSun"/>
          <w:snapToGrid w:val="0"/>
          <w:color w:val="000000"/>
          <w:sz w:val="20"/>
          <w:szCs w:val="20"/>
          <w:lang w:val="en-US" w:eastAsia="zh-CN" w:bidi="en-US"/>
        </w:rPr>
        <w:t>, (42): 1-20. (in Chinese)</w:t>
      </w:r>
    </w:p>
    <w:p w:rsidR="006B3BBD" w:rsidRPr="0013217D" w:rsidRDefault="006B3BBD" w:rsidP="0013217D">
      <w:pPr>
        <w:spacing w:line="240" w:lineRule="auto"/>
        <w:jc w:val="both"/>
      </w:pPr>
    </w:p>
    <w:sectPr w:rsidR="006B3BBD" w:rsidRPr="0013217D" w:rsidSect="001418C7">
      <w:headerReference w:type="default" r:id="rId20"/>
      <w:footerReference w:type="default" r:id="rId21"/>
      <w:headerReference w:type="first" r:id="rId22"/>
      <w:footerReference w:type="first" r:id="rId23"/>
      <w:pgSz w:w="11906" w:h="16838"/>
      <w:pgMar w:top="1418" w:right="1134" w:bottom="1418" w:left="1134" w:header="709" w:footer="709" w:gutter="0"/>
      <w:pgNumType w:start="48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2A0" w:rsidRDefault="003952A0" w:rsidP="0013217D">
      <w:pPr>
        <w:spacing w:after="0" w:line="240" w:lineRule="auto"/>
      </w:pPr>
      <w:r>
        <w:separator/>
      </w:r>
    </w:p>
  </w:endnote>
  <w:endnote w:type="continuationSeparator" w:id="0">
    <w:p w:rsidR="003952A0" w:rsidRDefault="003952A0"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117357"/>
      <w:docPartObj>
        <w:docPartGallery w:val="Page Numbers (Bottom of Page)"/>
        <w:docPartUnique/>
      </w:docPartObj>
    </w:sdtPr>
    <w:sdtEndPr/>
    <w:sdtContent>
      <w:p w:rsidR="000902D5" w:rsidRDefault="000902D5">
        <w:pPr>
          <w:pStyle w:val="a5"/>
          <w:jc w:val="center"/>
        </w:pPr>
        <w:r>
          <w:fldChar w:fldCharType="begin"/>
        </w:r>
        <w:r>
          <w:instrText>PAGE   \* MERGEFORMAT</w:instrText>
        </w:r>
        <w:r>
          <w:fldChar w:fldCharType="separate"/>
        </w:r>
        <w:r w:rsidR="00B856DE">
          <w:rPr>
            <w:noProof/>
          </w:rPr>
          <w:t>490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138224"/>
      <w:docPartObj>
        <w:docPartGallery w:val="Page Numbers (Bottom of Page)"/>
        <w:docPartUnique/>
      </w:docPartObj>
    </w:sdtPr>
    <w:sdtEndPr/>
    <w:sdtContent>
      <w:p w:rsidR="000902D5" w:rsidRDefault="000902D5">
        <w:pPr>
          <w:pStyle w:val="a5"/>
          <w:jc w:val="center"/>
        </w:pPr>
        <w:r>
          <w:fldChar w:fldCharType="begin"/>
        </w:r>
        <w:r>
          <w:instrText>PAGE   \* MERGEFORMAT</w:instrText>
        </w:r>
        <w:r>
          <w:fldChar w:fldCharType="separate"/>
        </w:r>
        <w:r w:rsidR="00B856DE">
          <w:rPr>
            <w:noProof/>
          </w:rPr>
          <w:t>489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2A0" w:rsidRDefault="003952A0" w:rsidP="0013217D">
      <w:pPr>
        <w:spacing w:after="0" w:line="240" w:lineRule="auto"/>
      </w:pPr>
      <w:r>
        <w:separator/>
      </w:r>
    </w:p>
  </w:footnote>
  <w:footnote w:type="continuationSeparator" w:id="0">
    <w:p w:rsidR="003952A0" w:rsidRDefault="003952A0" w:rsidP="0013217D">
      <w:pPr>
        <w:spacing w:after="0" w:line="240" w:lineRule="auto"/>
      </w:pPr>
      <w:r>
        <w:continuationSeparator/>
      </w:r>
    </w:p>
  </w:footnote>
  <w:footnote w:id="1">
    <w:p w:rsidR="000902D5" w:rsidRPr="000902D5" w:rsidRDefault="000902D5" w:rsidP="000902D5">
      <w:pPr>
        <w:pStyle w:val="a9"/>
        <w:rPr>
          <w:lang w:val="en-US"/>
        </w:rPr>
      </w:pPr>
      <w:r w:rsidRPr="0028673B">
        <w:rPr>
          <w:rStyle w:val="ad"/>
        </w:rPr>
        <w:footnoteRef/>
      </w:r>
      <w:r w:rsidRPr="000902D5">
        <w:rPr>
          <w:lang w:val="en-US"/>
        </w:rPr>
        <w:t xml:space="preserve">Professor, College of Civil Engineering, Nanjing Tech University, Nanjing, China, </w:t>
      </w:r>
      <w:hyperlink r:id="rId1" w:history="1">
        <w:r w:rsidRPr="000902D5">
          <w:rPr>
            <w:rStyle w:val="1"/>
            <w:lang w:val="en-US"/>
          </w:rPr>
          <w:t>lixuehongnj@163.com</w:t>
        </w:r>
      </w:hyperlink>
      <w:r w:rsidRPr="000902D5">
        <w:rPr>
          <w:rStyle w:val="1"/>
          <w:lang w:val="en-US"/>
        </w:rPr>
        <w:t xml:space="preserve"> </w:t>
      </w:r>
    </w:p>
  </w:footnote>
  <w:footnote w:id="2">
    <w:p w:rsidR="000902D5" w:rsidRPr="000902D5" w:rsidRDefault="000902D5" w:rsidP="000902D5">
      <w:pPr>
        <w:pStyle w:val="ab"/>
        <w:rPr>
          <w:rStyle w:val="1"/>
          <w:lang w:val="en-US"/>
        </w:rPr>
      </w:pPr>
      <w:r w:rsidRPr="00183947">
        <w:rPr>
          <w:rStyle w:val="ad"/>
        </w:rPr>
        <w:footnoteRef/>
      </w:r>
      <w:r w:rsidRPr="000902D5">
        <w:rPr>
          <w:lang w:val="en-US"/>
        </w:rPr>
        <w:t xml:space="preserve">Professor, College of Civil Engineering, Nanjing Tech University, Nanjing, China. </w:t>
      </w:r>
      <w:hyperlink r:id="rId2" w:history="1">
        <w:r w:rsidRPr="000902D5">
          <w:rPr>
            <w:rStyle w:val="1"/>
            <w:lang w:val="en-US"/>
          </w:rPr>
          <w:t>njxuxiuli@163.com</w:t>
        </w:r>
      </w:hyperlink>
    </w:p>
  </w:footnote>
  <w:footnote w:id="3">
    <w:p w:rsidR="000902D5" w:rsidRPr="000902D5" w:rsidRDefault="000902D5" w:rsidP="000902D5">
      <w:pPr>
        <w:pStyle w:val="ab"/>
        <w:rPr>
          <w:lang w:val="en-US"/>
        </w:rPr>
      </w:pPr>
      <w:r w:rsidRPr="00183947">
        <w:rPr>
          <w:rStyle w:val="ad"/>
        </w:rPr>
        <w:footnoteRef/>
      </w:r>
      <w:r w:rsidRPr="000902D5">
        <w:rPr>
          <w:lang w:val="en-US"/>
        </w:rPr>
        <w:t xml:space="preserve">Associate Professor, College of Civil Engineering, Nanjing Tech University, Nanjing, China. </w:t>
      </w:r>
      <w:hyperlink r:id="rId3" w:history="1">
        <w:r w:rsidRPr="000902D5">
          <w:rPr>
            <w:rStyle w:val="1"/>
            <w:lang w:val="en-US"/>
          </w:rPr>
          <w:t>lizhijun@njtech.edu.cn</w:t>
        </w:r>
      </w:hyperlink>
    </w:p>
  </w:footnote>
  <w:footnote w:id="4">
    <w:p w:rsidR="000902D5" w:rsidRPr="000902D5" w:rsidRDefault="000902D5" w:rsidP="000902D5">
      <w:pPr>
        <w:pStyle w:val="ab"/>
        <w:rPr>
          <w:rStyle w:val="1"/>
          <w:lang w:val="en-US"/>
        </w:rPr>
      </w:pPr>
      <w:r w:rsidRPr="00183947">
        <w:rPr>
          <w:rStyle w:val="ad"/>
        </w:rPr>
        <w:footnoteRef/>
      </w:r>
      <w:r w:rsidRPr="000902D5">
        <w:rPr>
          <w:lang w:val="en-US"/>
        </w:rPr>
        <w:t xml:space="preserve">Ph. D student, College of Civil Engineering, Nanjing Tech University, Nanjing, China. </w:t>
      </w:r>
      <w:hyperlink r:id="rId4" w:history="1">
        <w:r w:rsidRPr="000902D5">
          <w:rPr>
            <w:rStyle w:val="1"/>
            <w:lang w:val="en-US"/>
          </w:rPr>
          <w:t>colinering@126.com</w:t>
        </w:r>
      </w:hyperlink>
    </w:p>
  </w:footnote>
  <w:footnote w:id="5">
    <w:p w:rsidR="000902D5" w:rsidRPr="00183947" w:rsidRDefault="000902D5" w:rsidP="000902D5">
      <w:pPr>
        <w:pStyle w:val="ab"/>
      </w:pPr>
      <w:r w:rsidRPr="00183947">
        <w:rPr>
          <w:rStyle w:val="ad"/>
        </w:rPr>
        <w:footnoteRef/>
      </w:r>
      <w:r w:rsidRPr="000902D5">
        <w:rPr>
          <w:lang w:val="en-US"/>
        </w:rPr>
        <w:t xml:space="preserve">Graduate student, College of Civil Engineering, Nanjing Tech University, Nanjing, China. </w:t>
      </w:r>
      <w:hyperlink r:id="rId5" w:history="1">
        <w:r w:rsidRPr="00AF2285">
          <w:rPr>
            <w:rStyle w:val="1"/>
          </w:rPr>
          <w:t>1305311349@qq.com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11AC66F" wp14:editId="4B3B5508">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2D5"/>
    <w:rsid w:val="000902D5"/>
    <w:rsid w:val="000D7B9B"/>
    <w:rsid w:val="0013217D"/>
    <w:rsid w:val="001418C7"/>
    <w:rsid w:val="00254B4D"/>
    <w:rsid w:val="003952A0"/>
    <w:rsid w:val="006323CD"/>
    <w:rsid w:val="006B3BBD"/>
    <w:rsid w:val="0092552E"/>
    <w:rsid w:val="009267EB"/>
    <w:rsid w:val="00B856DE"/>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0902D5"/>
    <w:pPr>
      <w:spacing w:after="0" w:line="240" w:lineRule="auto"/>
    </w:pPr>
    <w:rPr>
      <w:sz w:val="20"/>
      <w:szCs w:val="20"/>
    </w:rPr>
  </w:style>
  <w:style w:type="character" w:customStyle="1" w:styleId="aa">
    <w:name w:val="Текст концевой сноски Знак"/>
    <w:basedOn w:val="a0"/>
    <w:link w:val="a9"/>
    <w:uiPriority w:val="99"/>
    <w:semiHidden/>
    <w:rsid w:val="000902D5"/>
    <w:rPr>
      <w:sz w:val="20"/>
      <w:szCs w:val="20"/>
    </w:rPr>
  </w:style>
  <w:style w:type="paragraph" w:styleId="ab">
    <w:name w:val="footnote text"/>
    <w:basedOn w:val="a"/>
    <w:link w:val="ac"/>
    <w:uiPriority w:val="99"/>
    <w:semiHidden/>
    <w:unhideWhenUsed/>
    <w:rsid w:val="000902D5"/>
    <w:pPr>
      <w:spacing w:after="0" w:line="240" w:lineRule="auto"/>
    </w:pPr>
    <w:rPr>
      <w:sz w:val="20"/>
      <w:szCs w:val="20"/>
    </w:rPr>
  </w:style>
  <w:style w:type="character" w:customStyle="1" w:styleId="ac">
    <w:name w:val="Текст сноски Знак"/>
    <w:basedOn w:val="a0"/>
    <w:link w:val="ab"/>
    <w:uiPriority w:val="99"/>
    <w:semiHidden/>
    <w:rsid w:val="000902D5"/>
    <w:rPr>
      <w:sz w:val="20"/>
      <w:szCs w:val="20"/>
    </w:rPr>
  </w:style>
  <w:style w:type="character" w:styleId="ad">
    <w:name w:val="footnote reference"/>
    <w:basedOn w:val="a0"/>
    <w:semiHidden/>
    <w:rsid w:val="000902D5"/>
    <w:rPr>
      <w:rFonts w:ascii="Times New Roman" w:hAnsi="Times New Roman"/>
      <w:sz w:val="22"/>
      <w:vertAlign w:val="superscript"/>
    </w:rPr>
  </w:style>
  <w:style w:type="character" w:customStyle="1" w:styleId="1">
    <w:name w:val="Гиперссылка1"/>
    <w:basedOn w:val="a0"/>
    <w:rsid w:val="000902D5"/>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0902D5"/>
    <w:pPr>
      <w:spacing w:after="0" w:line="240" w:lineRule="auto"/>
    </w:pPr>
    <w:rPr>
      <w:sz w:val="20"/>
      <w:szCs w:val="20"/>
    </w:rPr>
  </w:style>
  <w:style w:type="character" w:customStyle="1" w:styleId="aa">
    <w:name w:val="Текст концевой сноски Знак"/>
    <w:basedOn w:val="a0"/>
    <w:link w:val="a9"/>
    <w:uiPriority w:val="99"/>
    <w:semiHidden/>
    <w:rsid w:val="000902D5"/>
    <w:rPr>
      <w:sz w:val="20"/>
      <w:szCs w:val="20"/>
    </w:rPr>
  </w:style>
  <w:style w:type="paragraph" w:styleId="ab">
    <w:name w:val="footnote text"/>
    <w:basedOn w:val="a"/>
    <w:link w:val="ac"/>
    <w:uiPriority w:val="99"/>
    <w:semiHidden/>
    <w:unhideWhenUsed/>
    <w:rsid w:val="000902D5"/>
    <w:pPr>
      <w:spacing w:after="0" w:line="240" w:lineRule="auto"/>
    </w:pPr>
    <w:rPr>
      <w:sz w:val="20"/>
      <w:szCs w:val="20"/>
    </w:rPr>
  </w:style>
  <w:style w:type="character" w:customStyle="1" w:styleId="ac">
    <w:name w:val="Текст сноски Знак"/>
    <w:basedOn w:val="a0"/>
    <w:link w:val="ab"/>
    <w:uiPriority w:val="99"/>
    <w:semiHidden/>
    <w:rsid w:val="000902D5"/>
    <w:rPr>
      <w:sz w:val="20"/>
      <w:szCs w:val="20"/>
    </w:rPr>
  </w:style>
  <w:style w:type="character" w:styleId="ad">
    <w:name w:val="footnote reference"/>
    <w:basedOn w:val="a0"/>
    <w:semiHidden/>
    <w:rsid w:val="000902D5"/>
    <w:rPr>
      <w:rFonts w:ascii="Times New Roman" w:hAnsi="Times New Roman"/>
      <w:sz w:val="22"/>
      <w:vertAlign w:val="superscript"/>
    </w:rPr>
  </w:style>
  <w:style w:type="character" w:customStyle="1" w:styleId="1">
    <w:name w:val="Гиперссылка1"/>
    <w:basedOn w:val="a0"/>
    <w:rsid w:val="000902D5"/>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mailto:lizhijun@njtech.edu.cn" TargetMode="External"/><Relationship Id="rId2" Type="http://schemas.openxmlformats.org/officeDocument/2006/relationships/hyperlink" Target="mailto:njxuxiuli@163.com" TargetMode="External"/><Relationship Id="rId1" Type="http://schemas.openxmlformats.org/officeDocument/2006/relationships/hyperlink" Target="mailto:lixuehongnj@163.com" TargetMode="External"/><Relationship Id="rId5" Type="http://schemas.openxmlformats.org/officeDocument/2006/relationships/hyperlink" Target="mailto:1305311349@qq.com" TargetMode="External"/><Relationship Id="rId4" Type="http://schemas.openxmlformats.org/officeDocument/2006/relationships/hyperlink" Target="mailto:colinering@126.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7</TotalTime>
  <Pages>3</Pages>
  <Words>2746</Words>
  <Characters>15655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2020-06-27T19:46:00Z</dcterms:created>
  <dcterms:modified xsi:type="dcterms:W3CDTF">2021-05-12T15:24:00Z</dcterms:modified>
</cp:coreProperties>
</file>