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BFE" w:rsidRPr="00E05BFE" w:rsidRDefault="00E05BFE" w:rsidP="00E05BFE">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E05BFE" w:rsidRPr="00E05BFE" w:rsidRDefault="00E05BFE" w:rsidP="00E05BFE">
      <w:pPr>
        <w:widowControl w:val="0"/>
        <w:spacing w:after="0" w:line="240" w:lineRule="auto"/>
        <w:jc w:val="center"/>
        <w:outlineLvl w:val="0"/>
        <w:rPr>
          <w:rFonts w:eastAsia="Times New Roman"/>
          <w:b/>
          <w:caps/>
          <w:snapToGrid w:val="0"/>
          <w:sz w:val="28"/>
          <w:szCs w:val="24"/>
          <w:lang w:val="en-US" w:eastAsia="en-US"/>
        </w:rPr>
      </w:pPr>
    </w:p>
    <w:p w:rsidR="00E05BFE" w:rsidRPr="00E05BFE" w:rsidRDefault="00E05BFE" w:rsidP="00E05BFE">
      <w:pPr>
        <w:widowControl w:val="0"/>
        <w:spacing w:after="0" w:line="240" w:lineRule="auto"/>
        <w:jc w:val="center"/>
        <w:outlineLvl w:val="0"/>
        <w:rPr>
          <w:rFonts w:eastAsia="Times New Roman"/>
          <w:b/>
          <w:caps/>
          <w:snapToGrid w:val="0"/>
          <w:sz w:val="28"/>
          <w:szCs w:val="24"/>
          <w:lang w:val="en-US" w:eastAsia="en-US"/>
        </w:rPr>
      </w:pPr>
      <w:r w:rsidRPr="00E05BFE">
        <w:rPr>
          <w:rFonts w:eastAsia="Times New Roman"/>
          <w:b/>
          <w:caps/>
          <w:snapToGrid w:val="0"/>
          <w:sz w:val="28"/>
          <w:szCs w:val="24"/>
          <w:lang w:val="en-US" w:eastAsia="en-US"/>
        </w:rPr>
        <w:t>ENERGY DISSIPATION AND SEISMIC RESPONSE EVALUATION OF SEMI-RIGID FRAMES AT VARIOUS PERFORMANCE LEVELS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b/>
          <w:snapToGrid w:val="0"/>
          <w:sz w:val="28"/>
          <w:szCs w:val="28"/>
          <w:lang w:val="en-US" w:eastAsia="en-US"/>
        </w:rPr>
      </w:pPr>
      <w:r w:rsidRPr="00E05BFE">
        <w:rPr>
          <w:rFonts w:eastAsia="Times New Roman"/>
          <w:b/>
          <w:snapToGrid w:val="0"/>
          <w:sz w:val="28"/>
          <w:szCs w:val="28"/>
          <w:lang w:val="en-US" w:eastAsia="en-US"/>
        </w:rPr>
        <w:t xml:space="preserve">DOI </w:t>
      </w:r>
      <w:r w:rsidR="00270391">
        <w:rPr>
          <w:rFonts w:eastAsia="Times New Roman"/>
          <w:b/>
          <w:snapToGrid w:val="0"/>
          <w:color w:val="333333"/>
          <w:sz w:val="28"/>
          <w:szCs w:val="28"/>
          <w:shd w:val="clear" w:color="auto" w:fill="FFFFFF"/>
          <w:lang w:val="en-US" w:eastAsia="en-US"/>
        </w:rPr>
        <w:t>10.37153</w:t>
      </w:r>
      <w:r w:rsidRPr="00E05BFE">
        <w:rPr>
          <w:rFonts w:eastAsia="Times New Roman"/>
          <w:b/>
          <w:snapToGrid w:val="0"/>
          <w:color w:val="333333"/>
          <w:sz w:val="28"/>
          <w:szCs w:val="28"/>
          <w:shd w:val="clear" w:color="auto" w:fill="FFFFFF"/>
          <w:lang w:val="en-US" w:eastAsia="en-US"/>
        </w:rPr>
        <w:t>/2686-7974-2019-16-694-704</w:t>
      </w:r>
    </w:p>
    <w:p w:rsidR="00E05BFE" w:rsidRPr="00E05BFE" w:rsidRDefault="00E05BFE" w:rsidP="00E05BFE">
      <w:pPr>
        <w:widowControl w:val="0"/>
        <w:suppressAutoHyphens/>
        <w:spacing w:after="0" w:line="240" w:lineRule="auto"/>
        <w:jc w:val="both"/>
        <w:rPr>
          <w:rFonts w:eastAsia="Times New Roman"/>
          <w:snapToGrid w:val="0"/>
          <w:szCs w:val="24"/>
          <w:lang w:val="en-US" w:eastAsia="en-US"/>
        </w:rPr>
      </w:pPr>
    </w:p>
    <w:p w:rsidR="00E05BFE" w:rsidRPr="00E05BFE" w:rsidRDefault="00E05BFE" w:rsidP="00E05BFE">
      <w:pPr>
        <w:widowControl w:val="0"/>
        <w:suppressAutoHyphens/>
        <w:spacing w:after="0" w:line="240" w:lineRule="auto"/>
        <w:jc w:val="center"/>
        <w:rPr>
          <w:rFonts w:eastAsia="Times New Roman"/>
          <w:szCs w:val="24"/>
          <w:lang w:val="en-US" w:eastAsia="en-US"/>
        </w:rPr>
      </w:pPr>
      <w:r w:rsidRPr="00E05BFE">
        <w:rPr>
          <w:rFonts w:eastAsia="Times New Roman"/>
          <w:szCs w:val="24"/>
          <w:lang w:val="en-US" w:eastAsia="en-US"/>
        </w:rPr>
        <w:t>Vijay SHARMA</w:t>
      </w:r>
      <w:r w:rsidRPr="00E05BFE">
        <w:rPr>
          <w:rFonts w:eastAsia="Times New Roman"/>
          <w:szCs w:val="24"/>
          <w:vertAlign w:val="superscript"/>
          <w:lang w:val="en-US" w:eastAsia="en-US"/>
        </w:rPr>
        <w:footnoteReference w:id="1"/>
      </w:r>
      <w:r w:rsidRPr="00E05BFE">
        <w:rPr>
          <w:rFonts w:eastAsia="Times New Roman"/>
          <w:szCs w:val="24"/>
          <w:lang w:val="en-US" w:eastAsia="en-US"/>
        </w:rPr>
        <w:t>, Sourabh VERN</w:t>
      </w:r>
      <w:r w:rsidRPr="00E05BFE">
        <w:rPr>
          <w:rFonts w:eastAsia="Times New Roman"/>
          <w:szCs w:val="24"/>
          <w:vertAlign w:val="superscript"/>
          <w:lang w:val="en-US" w:eastAsia="en-US"/>
        </w:rPr>
        <w:footnoteReference w:id="2"/>
      </w:r>
      <w:r w:rsidRPr="00E05BFE">
        <w:rPr>
          <w:rFonts w:eastAsia="Times New Roman"/>
          <w:szCs w:val="24"/>
          <w:lang w:val="en-US" w:eastAsia="en-US"/>
        </w:rPr>
        <w:t>, Mahendra Kumar SHRIMALI</w:t>
      </w:r>
      <w:r w:rsidRPr="00E05BFE">
        <w:rPr>
          <w:rFonts w:eastAsia="Times New Roman"/>
          <w:szCs w:val="24"/>
          <w:vertAlign w:val="superscript"/>
          <w:lang w:val="en-US" w:eastAsia="en-US"/>
        </w:rPr>
        <w:footnoteReference w:id="3"/>
      </w:r>
      <w:r w:rsidRPr="00E05BFE">
        <w:rPr>
          <w:rFonts w:eastAsia="Times New Roman"/>
          <w:szCs w:val="24"/>
          <w:lang w:val="en-US" w:eastAsia="en-US"/>
        </w:rPr>
        <w:t>,</w:t>
      </w:r>
      <w:r w:rsidRPr="00E05BFE">
        <w:rPr>
          <w:rFonts w:eastAsia="Times New Roman"/>
          <w:szCs w:val="24"/>
          <w:lang w:val="en-US" w:eastAsia="en-US"/>
        </w:rPr>
        <w:br/>
        <w:t>Shiv Dayal BHARTI</w:t>
      </w:r>
      <w:r w:rsidRPr="00E05BFE">
        <w:rPr>
          <w:rFonts w:eastAsia="Times New Roman"/>
          <w:szCs w:val="24"/>
          <w:vertAlign w:val="superscript"/>
          <w:lang w:val="en-US" w:eastAsia="en-US"/>
        </w:rPr>
        <w:footnoteReference w:id="4"/>
      </w:r>
      <w:r w:rsidRPr="00E05BFE">
        <w:rPr>
          <w:rFonts w:eastAsia="Times New Roman"/>
          <w:szCs w:val="24"/>
          <w:lang w:val="en-US" w:eastAsia="en-US"/>
        </w:rPr>
        <w:t>, Tushar Kanti DATTA</w:t>
      </w:r>
      <w:r w:rsidRPr="00E05BFE">
        <w:rPr>
          <w:rFonts w:eastAsia="Times New Roman"/>
          <w:szCs w:val="24"/>
          <w:vertAlign w:val="superscript"/>
          <w:lang w:val="en-US" w:eastAsia="en-US"/>
        </w:rPr>
        <w:footnoteReference w:id="5"/>
      </w:r>
    </w:p>
    <w:p w:rsidR="00E05BFE" w:rsidRPr="00E05BFE" w:rsidRDefault="00E05BFE" w:rsidP="00E05BFE">
      <w:pPr>
        <w:widowControl w:val="0"/>
        <w:tabs>
          <w:tab w:val="left" w:pos="-720"/>
        </w:tabs>
        <w:suppressAutoHyphens/>
        <w:spacing w:after="0" w:line="240" w:lineRule="auto"/>
        <w:jc w:val="both"/>
        <w:rPr>
          <w:rFonts w:eastAsia="Times New Roman"/>
          <w:snapToGrid w:val="0"/>
          <w:szCs w:val="24"/>
          <w:lang w:val="en-US" w:eastAsia="en-US"/>
        </w:rPr>
      </w:pPr>
    </w:p>
    <w:p w:rsidR="00E05BFE" w:rsidRPr="00E05BFE" w:rsidRDefault="00E05BFE" w:rsidP="00E05BFE">
      <w:pPr>
        <w:widowControl w:val="0"/>
        <w:tabs>
          <w:tab w:val="left" w:pos="-720"/>
        </w:tabs>
        <w:suppressAutoHyphens/>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center"/>
        <w:outlineLvl w:val="0"/>
        <w:rPr>
          <w:rFonts w:eastAsia="Times New Roman"/>
          <w:b/>
          <w:caps/>
          <w:snapToGrid w:val="0"/>
          <w:kern w:val="28"/>
          <w:szCs w:val="24"/>
          <w:lang w:val="en-US" w:eastAsia="en-US"/>
        </w:rPr>
      </w:pPr>
      <w:r w:rsidRPr="00E05BFE">
        <w:rPr>
          <w:rFonts w:eastAsia="Times New Roman"/>
          <w:b/>
          <w:caps/>
          <w:snapToGrid w:val="0"/>
          <w:kern w:val="28"/>
          <w:szCs w:val="24"/>
          <w:lang w:val="en-US" w:eastAsia="en-US"/>
        </w:rPr>
        <w:t>ABSTRACT</w:t>
      </w:r>
    </w:p>
    <w:p w:rsidR="00E05BFE" w:rsidRPr="00E05BFE" w:rsidRDefault="00E05BFE" w:rsidP="00E05BFE">
      <w:pPr>
        <w:widowControl w:val="0"/>
        <w:suppressAutoHyphens/>
        <w:spacing w:after="0" w:line="240" w:lineRule="auto"/>
        <w:jc w:val="both"/>
        <w:rPr>
          <w:rFonts w:eastAsia="Times New Roman"/>
          <w:sz w:val="20"/>
          <w:szCs w:val="24"/>
          <w:lang w:val="en-US" w:eastAsia="en-US"/>
        </w:rPr>
      </w:pPr>
    </w:p>
    <w:p w:rsidR="00E05BFE" w:rsidRPr="00E05BFE" w:rsidRDefault="00E05BFE" w:rsidP="00E05BFE">
      <w:pPr>
        <w:widowControl w:val="0"/>
        <w:suppressAutoHyphens/>
        <w:spacing w:after="0" w:line="240" w:lineRule="auto"/>
        <w:jc w:val="both"/>
        <w:rPr>
          <w:rFonts w:eastAsia="Times New Roman"/>
          <w:noProof/>
          <w:sz w:val="20"/>
          <w:szCs w:val="20"/>
          <w:lang w:val="en-US" w:eastAsia="en-US"/>
        </w:rPr>
      </w:pPr>
      <w:r w:rsidRPr="00E05BFE">
        <w:rPr>
          <w:rFonts w:eastAsia="Times New Roman"/>
          <w:sz w:val="20"/>
          <w:szCs w:val="20"/>
          <w:lang w:val="en-US" w:eastAsia="en-US"/>
        </w:rPr>
        <w:t xml:space="preserve">During the famous 1994 Northridge earthquake and 1995 Kobe earthquakes, the beam-column rigid connected steel moment-resisting frames were severely affected, especially at joints. As a consequence, the concept of semi-rigid (SR) </w:t>
      </w:r>
      <w:r w:rsidRPr="00E05BFE">
        <w:rPr>
          <w:rFonts w:eastAsia="Times New Roman"/>
          <w:noProof/>
          <w:sz w:val="20"/>
          <w:szCs w:val="20"/>
          <w:lang w:val="en-US" w:eastAsia="en-US"/>
        </w:rPr>
        <w:t>frames</w:t>
      </w:r>
      <w:r w:rsidRPr="00E05BFE">
        <w:rPr>
          <w:rFonts w:eastAsia="Times New Roman"/>
          <w:sz w:val="20"/>
          <w:szCs w:val="20"/>
          <w:lang w:val="en-US" w:eastAsia="en-US"/>
        </w:rPr>
        <w:t xml:space="preserve"> for seismic energy dissipation attracted the attention of many researchers. This paper primarily focuses on the </w:t>
      </w:r>
      <w:r w:rsidRPr="00E05BFE">
        <w:rPr>
          <w:rFonts w:eastAsia="Times New Roman"/>
          <w:noProof/>
          <w:sz w:val="20"/>
          <w:szCs w:val="20"/>
          <w:lang w:val="en-US" w:eastAsia="en-US"/>
        </w:rPr>
        <w:t xml:space="preserve">performance-based seismic behavior of SR frames under earthquakes. </w:t>
      </w:r>
      <w:r w:rsidRPr="00E05BFE">
        <w:rPr>
          <w:rFonts w:eastAsia="Times New Roman"/>
          <w:sz w:val="20"/>
          <w:szCs w:val="20"/>
          <w:lang w:val="en-US" w:eastAsia="en-US"/>
        </w:rPr>
        <w:t xml:space="preserve">Herein, the seismic performance of SR steel moment frames </w:t>
      </w:r>
      <w:r w:rsidRPr="00E05BFE">
        <w:rPr>
          <w:rFonts w:eastAsia="Times New Roman"/>
          <w:noProof/>
          <w:sz w:val="20"/>
          <w:szCs w:val="20"/>
          <w:lang w:val="en-US" w:eastAsia="en-US"/>
        </w:rPr>
        <w:t>is investigated</w:t>
      </w:r>
      <w:r w:rsidRPr="00E05BFE">
        <w:rPr>
          <w:rFonts w:eastAsia="Times New Roman"/>
          <w:sz w:val="20"/>
          <w:szCs w:val="20"/>
          <w:lang w:val="en-US" w:eastAsia="en-US"/>
        </w:rPr>
        <w:t xml:space="preserve"> at various performance levels through the nonlinear pushover analysis (POA) and the nonlinear time history analysis (</w:t>
      </w:r>
      <w:r w:rsidRPr="00E05BFE">
        <w:rPr>
          <w:rFonts w:eastAsia="Times New Roman"/>
          <w:noProof/>
          <w:sz w:val="20"/>
          <w:szCs w:val="20"/>
          <w:lang w:val="en-US" w:eastAsia="en-US"/>
        </w:rPr>
        <w:t>NTHA</w:t>
      </w:r>
      <w:r w:rsidRPr="00E05BFE">
        <w:rPr>
          <w:rFonts w:eastAsia="Times New Roman"/>
          <w:sz w:val="20"/>
          <w:szCs w:val="20"/>
          <w:lang w:val="en-US" w:eastAsia="en-US"/>
        </w:rPr>
        <w:t xml:space="preserve">) under a variety of far-field and near-field earthquakes. The SR connections </w:t>
      </w:r>
      <w:r w:rsidRPr="00E05BFE">
        <w:rPr>
          <w:rFonts w:eastAsia="Times New Roman"/>
          <w:noProof/>
          <w:sz w:val="20"/>
          <w:szCs w:val="20"/>
          <w:lang w:val="en-US" w:eastAsia="en-US"/>
        </w:rPr>
        <w:t>are modeled</w:t>
      </w:r>
      <w:r w:rsidRPr="00E05BFE">
        <w:rPr>
          <w:rFonts w:eastAsia="Times New Roman"/>
          <w:sz w:val="20"/>
          <w:szCs w:val="20"/>
          <w:lang w:val="en-US" w:eastAsia="en-US"/>
        </w:rPr>
        <w:t xml:space="preserve"> as multi-linear plastic link element with </w:t>
      </w:r>
      <w:r w:rsidRPr="00E05BFE">
        <w:rPr>
          <w:rFonts w:eastAsia="Times New Roman"/>
          <w:noProof/>
          <w:sz w:val="20"/>
          <w:szCs w:val="20"/>
          <w:lang w:val="en-US" w:eastAsia="en-US"/>
        </w:rPr>
        <w:t>a kinematic</w:t>
      </w:r>
      <w:r w:rsidRPr="00E05BFE">
        <w:rPr>
          <w:rFonts w:eastAsia="Times New Roman"/>
          <w:sz w:val="20"/>
          <w:szCs w:val="20"/>
          <w:lang w:val="en-US" w:eastAsia="en-US"/>
        </w:rPr>
        <w:t xml:space="preserve"> hysteresis </w:t>
      </w:r>
      <w:r w:rsidRPr="00E05BFE">
        <w:rPr>
          <w:rFonts w:eastAsia="Times New Roman"/>
          <w:noProof/>
          <w:sz w:val="20"/>
          <w:szCs w:val="20"/>
          <w:lang w:val="en-US" w:eastAsia="en-US"/>
        </w:rPr>
        <w:t>behavior</w:t>
      </w:r>
      <w:r w:rsidRPr="00E05BFE">
        <w:rPr>
          <w:rFonts w:eastAsia="Times New Roman"/>
          <w:sz w:val="20"/>
          <w:szCs w:val="20"/>
          <w:lang w:val="en-US" w:eastAsia="en-US"/>
        </w:rPr>
        <w:t xml:space="preserve"> in the standard software SAP2000. POA is performed to identify the performance levels at different locations, elastic to the near </w:t>
      </w:r>
      <w:r w:rsidRPr="00E05BFE">
        <w:rPr>
          <w:rFonts w:eastAsia="Times New Roman"/>
          <w:noProof/>
          <w:sz w:val="20"/>
          <w:szCs w:val="20"/>
          <w:lang w:val="en-US" w:eastAsia="en-US"/>
        </w:rPr>
        <w:t>collapse level.</w:t>
      </w:r>
      <w:r w:rsidRPr="00E05BFE">
        <w:rPr>
          <w:rFonts w:eastAsia="Times New Roman"/>
          <w:sz w:val="20"/>
          <w:szCs w:val="20"/>
          <w:lang w:val="en-US" w:eastAsia="en-US"/>
        </w:rPr>
        <w:t xml:space="preserve"> For the numerical study, a 5-story steel moment frame with rigid and SR connections are</w:t>
      </w:r>
      <w:r w:rsidRPr="00E05BFE">
        <w:rPr>
          <w:rFonts w:eastAsia="Times New Roman"/>
          <w:noProof/>
          <w:sz w:val="20"/>
          <w:szCs w:val="20"/>
          <w:lang w:val="en-US" w:eastAsia="en-US"/>
        </w:rPr>
        <w:t xml:space="preserve"> designed</w:t>
      </w:r>
      <w:r w:rsidRPr="00E05BFE">
        <w:rPr>
          <w:rFonts w:eastAsia="Times New Roman"/>
          <w:sz w:val="20"/>
          <w:szCs w:val="20"/>
          <w:lang w:val="en-US" w:eastAsia="en-US"/>
        </w:rPr>
        <w:t xml:space="preserve"> for the </w:t>
      </w:r>
      <w:r w:rsidRPr="00E05BFE">
        <w:rPr>
          <w:rFonts w:eastAsia="Times New Roman"/>
          <w:noProof/>
          <w:sz w:val="20"/>
          <w:szCs w:val="20"/>
          <w:lang w:val="en-US" w:eastAsia="en-US"/>
        </w:rPr>
        <w:t xml:space="preserve">Indian standard provisions to assess the </w:t>
      </w:r>
      <w:r w:rsidRPr="00E05BFE">
        <w:rPr>
          <w:rFonts w:eastAsia="Times New Roman"/>
          <w:sz w:val="20"/>
          <w:szCs w:val="20"/>
          <w:lang w:val="en-US" w:eastAsia="en-US"/>
        </w:rPr>
        <w:t>seismic performances</w:t>
      </w:r>
      <w:r w:rsidRPr="00E05BFE">
        <w:rPr>
          <w:rFonts w:eastAsia="Times New Roman"/>
          <w:noProof/>
          <w:sz w:val="20"/>
          <w:szCs w:val="20"/>
          <w:lang w:val="en-US" w:eastAsia="en-US"/>
        </w:rPr>
        <w:t>. Further</w:t>
      </w:r>
      <w:r w:rsidRPr="00E05BFE">
        <w:rPr>
          <w:rFonts w:eastAsia="Times New Roman"/>
          <w:sz w:val="20"/>
          <w:szCs w:val="20"/>
          <w:lang w:val="en-US" w:eastAsia="en-US"/>
        </w:rPr>
        <w:t xml:space="preserve">, the responses obtained from the POA </w:t>
      </w:r>
      <w:r w:rsidRPr="00E05BFE">
        <w:rPr>
          <w:rFonts w:eastAsia="Times New Roman"/>
          <w:noProof/>
          <w:sz w:val="20"/>
          <w:szCs w:val="20"/>
          <w:lang w:val="en-US" w:eastAsia="en-US"/>
        </w:rPr>
        <w:t>are compared</w:t>
      </w:r>
      <w:r w:rsidRPr="00E05BFE">
        <w:rPr>
          <w:rFonts w:eastAsia="Times New Roman"/>
          <w:sz w:val="20"/>
          <w:szCs w:val="20"/>
          <w:lang w:val="en-US" w:eastAsia="en-US"/>
        </w:rPr>
        <w:t xml:space="preserve"> with the benchmark NTHA. The response </w:t>
      </w:r>
      <w:r w:rsidRPr="00E05BFE">
        <w:rPr>
          <w:rFonts w:eastAsia="Times New Roman"/>
          <w:noProof/>
          <w:sz w:val="20"/>
          <w:szCs w:val="20"/>
          <w:lang w:val="en-US" w:eastAsia="en-US"/>
        </w:rPr>
        <w:t>quantities</w:t>
      </w:r>
      <w:r w:rsidRPr="00E05BFE">
        <w:rPr>
          <w:rFonts w:eastAsia="Times New Roman"/>
          <w:sz w:val="20"/>
          <w:szCs w:val="20"/>
          <w:lang w:val="en-US" w:eastAsia="en-US"/>
        </w:rPr>
        <w:t xml:space="preserve"> of </w:t>
      </w:r>
      <w:r w:rsidRPr="00E05BFE">
        <w:rPr>
          <w:rFonts w:eastAsia="Times New Roman"/>
          <w:noProof/>
          <w:sz w:val="20"/>
          <w:szCs w:val="20"/>
          <w:lang w:val="en-US" w:eastAsia="en-US"/>
        </w:rPr>
        <w:t>interest are considered</w:t>
      </w:r>
      <w:r w:rsidRPr="00E05BFE">
        <w:rPr>
          <w:rFonts w:eastAsia="Times New Roman"/>
          <w:sz w:val="20"/>
          <w:szCs w:val="20"/>
          <w:lang w:val="en-US" w:eastAsia="en-US"/>
        </w:rPr>
        <w:t xml:space="preserve"> as the energy dissipation in SR connections, the peak top-floor </w:t>
      </w:r>
      <w:r w:rsidRPr="00E05BFE">
        <w:rPr>
          <w:rFonts w:eastAsia="Times New Roman"/>
          <w:noProof/>
          <w:sz w:val="20"/>
          <w:szCs w:val="20"/>
          <w:lang w:val="en-US" w:eastAsia="en-US"/>
        </w:rPr>
        <w:t>displacement</w:t>
      </w:r>
      <w:r w:rsidRPr="00E05BFE">
        <w:rPr>
          <w:rFonts w:eastAsia="Times New Roman"/>
          <w:sz w:val="20"/>
          <w:szCs w:val="20"/>
          <w:lang w:val="en-US" w:eastAsia="en-US"/>
        </w:rPr>
        <w:t xml:space="preserve">, the maximum base shear, the maximum inter-story drift and the SRSS of maximum plastic hinge rotations. </w:t>
      </w:r>
      <w:r w:rsidRPr="00E05BFE">
        <w:rPr>
          <w:rFonts w:eastAsia="Times New Roman"/>
          <w:noProof/>
          <w:sz w:val="20"/>
          <w:szCs w:val="20"/>
          <w:lang w:val="en-US" w:eastAsia="en-US"/>
        </w:rPr>
        <w:t>From</w:t>
      </w:r>
      <w:r w:rsidRPr="00E05BFE">
        <w:rPr>
          <w:rFonts w:eastAsia="Times New Roman"/>
          <w:sz w:val="20"/>
          <w:szCs w:val="20"/>
          <w:lang w:val="en-US" w:eastAsia="en-US"/>
        </w:rPr>
        <w:t xml:space="preserve"> the study, it </w:t>
      </w:r>
      <w:r w:rsidRPr="00E05BFE">
        <w:rPr>
          <w:rFonts w:eastAsia="Times New Roman"/>
          <w:noProof/>
          <w:sz w:val="20"/>
          <w:szCs w:val="20"/>
          <w:lang w:val="en-US" w:eastAsia="en-US"/>
        </w:rPr>
        <w:t xml:space="preserve">is concluded that predictions from POA are quite reliable up to the </w:t>
      </w:r>
      <w:r w:rsidRPr="00E05BFE">
        <w:rPr>
          <w:rFonts w:eastAsia="Times New Roman"/>
          <w:sz w:val="20"/>
          <w:szCs w:val="20"/>
          <w:lang w:val="en-US" w:eastAsia="en-US"/>
        </w:rPr>
        <w:t xml:space="preserve">elastic and elastic-plastic </w:t>
      </w:r>
      <w:r w:rsidRPr="00E05BFE">
        <w:rPr>
          <w:rFonts w:eastAsia="Times New Roman"/>
          <w:noProof/>
          <w:sz w:val="20"/>
          <w:szCs w:val="20"/>
          <w:lang w:val="en-US" w:eastAsia="en-US"/>
        </w:rPr>
        <w:t>performance</w:t>
      </w:r>
      <w:r w:rsidRPr="00E05BFE">
        <w:rPr>
          <w:rFonts w:eastAsia="Times New Roman"/>
          <w:sz w:val="20"/>
          <w:szCs w:val="20"/>
          <w:lang w:val="en-US" w:eastAsia="en-US"/>
        </w:rPr>
        <w:t xml:space="preserve"> levels. Further, the energy dissipations at the SR connections are found to be significant in NTHA showing the improved inelastic behavior of the SR frames as compared to the rigid </w:t>
      </w:r>
      <w:r w:rsidRPr="00E05BFE">
        <w:rPr>
          <w:rFonts w:eastAsia="Times New Roman"/>
          <w:noProof/>
          <w:sz w:val="20"/>
          <w:szCs w:val="20"/>
          <w:lang w:val="en-US" w:eastAsia="en-US"/>
        </w:rPr>
        <w:t>frames</w:t>
      </w:r>
      <w:r w:rsidRPr="00E05BFE">
        <w:rPr>
          <w:rFonts w:eastAsia="Times New Roman"/>
          <w:sz w:val="20"/>
          <w:szCs w:val="20"/>
          <w:lang w:val="en-US" w:eastAsia="en-US"/>
        </w:rPr>
        <w:t>.</w:t>
      </w:r>
    </w:p>
    <w:p w:rsidR="00E05BFE" w:rsidRPr="00E05BFE" w:rsidRDefault="00E05BFE" w:rsidP="00E05BFE">
      <w:pPr>
        <w:widowControl w:val="0"/>
        <w:suppressAutoHyphens/>
        <w:spacing w:after="0" w:line="240" w:lineRule="auto"/>
        <w:jc w:val="both"/>
        <w:rPr>
          <w:rFonts w:eastAsia="Times New Roman"/>
          <w:sz w:val="20"/>
          <w:szCs w:val="24"/>
          <w:lang w:val="en-US" w:eastAsia="en-US"/>
        </w:rPr>
      </w:pPr>
    </w:p>
    <w:p w:rsidR="00E05BFE" w:rsidRPr="00E05BFE" w:rsidRDefault="00E05BFE" w:rsidP="00E05BFE">
      <w:pPr>
        <w:widowControl w:val="0"/>
        <w:suppressAutoHyphens/>
        <w:spacing w:after="0" w:line="240" w:lineRule="auto"/>
        <w:jc w:val="both"/>
        <w:rPr>
          <w:rFonts w:eastAsia="Times New Roman"/>
          <w:sz w:val="24"/>
          <w:szCs w:val="24"/>
          <w:lang w:val="en-US" w:eastAsia="en-US"/>
        </w:rPr>
      </w:pPr>
      <w:r w:rsidRPr="00E05BFE">
        <w:rPr>
          <w:rFonts w:eastAsia="Times New Roman"/>
          <w:i/>
          <w:sz w:val="20"/>
          <w:szCs w:val="24"/>
          <w:lang w:val="en-US" w:eastAsia="en-US"/>
        </w:rPr>
        <w:t xml:space="preserve">Keywords: </w:t>
      </w:r>
      <w:r w:rsidRPr="00E05BFE">
        <w:rPr>
          <w:rFonts w:eastAsia="Times New Roman"/>
          <w:i/>
          <w:iCs/>
          <w:sz w:val="20"/>
          <w:szCs w:val="20"/>
          <w:lang w:val="en-US" w:eastAsia="en-US"/>
        </w:rPr>
        <w:t xml:space="preserve">Seismic </w:t>
      </w:r>
      <w:r w:rsidRPr="00E05BFE">
        <w:rPr>
          <w:rFonts w:eastAsia="Times New Roman"/>
          <w:i/>
          <w:iCs/>
          <w:noProof/>
          <w:sz w:val="20"/>
          <w:szCs w:val="20"/>
          <w:lang w:val="en-US" w:eastAsia="en-US"/>
        </w:rPr>
        <w:t>Performance;</w:t>
      </w:r>
      <w:r w:rsidRPr="00E05BFE">
        <w:rPr>
          <w:rFonts w:eastAsia="Times New Roman"/>
          <w:i/>
          <w:iCs/>
          <w:sz w:val="20"/>
          <w:szCs w:val="20"/>
          <w:lang w:val="en-US" w:eastAsia="en-US"/>
        </w:rPr>
        <w:t xml:space="preserve"> Semi-rigid; Far-field, Near-field earthquakes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keepNext/>
        <w:widowControl w:val="0"/>
        <w:suppressAutoHyphens/>
        <w:spacing w:after="0" w:line="240" w:lineRule="auto"/>
        <w:ind w:left="270" w:hanging="270"/>
        <w:jc w:val="both"/>
        <w:outlineLvl w:val="0"/>
        <w:rPr>
          <w:rFonts w:eastAsia="Times New Roman"/>
          <w:b/>
          <w:caps/>
          <w:snapToGrid w:val="0"/>
          <w:szCs w:val="24"/>
          <w:lang w:val="en-US" w:eastAsia="en-US"/>
        </w:rPr>
      </w:pPr>
      <w:r w:rsidRPr="00E05BFE">
        <w:rPr>
          <w:rFonts w:eastAsia="Times New Roman"/>
          <w:b/>
          <w:caps/>
          <w:snapToGrid w:val="0"/>
          <w:szCs w:val="24"/>
          <w:lang w:val="en-US" w:eastAsia="en-US"/>
        </w:rPr>
        <w:t xml:space="preserve">1. INTRODUCTION </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The conventional rigid connected steel structures </w:t>
      </w:r>
      <w:r w:rsidRPr="00E05BFE">
        <w:rPr>
          <w:rFonts w:eastAsia="Times New Roman"/>
          <w:noProof/>
          <w:snapToGrid w:val="0"/>
          <w:szCs w:val="24"/>
          <w:lang w:val="en-US" w:eastAsia="en-US"/>
        </w:rPr>
        <w:t>are generally preferred</w:t>
      </w:r>
      <w:r w:rsidRPr="00E05BFE">
        <w:rPr>
          <w:rFonts w:eastAsia="Times New Roman"/>
          <w:snapToGrid w:val="0"/>
          <w:szCs w:val="24"/>
          <w:lang w:val="en-US" w:eastAsia="en-US"/>
        </w:rPr>
        <w:t xml:space="preserve"> in the high seismic zones due to </w:t>
      </w:r>
      <w:r w:rsidRPr="00E05BFE">
        <w:rPr>
          <w:rFonts w:eastAsia="Times New Roman"/>
          <w:noProof/>
          <w:snapToGrid w:val="0"/>
          <w:szCs w:val="24"/>
          <w:lang w:val="en-US" w:eastAsia="en-US"/>
        </w:rPr>
        <w:t>cost-effectiveness</w:t>
      </w:r>
      <w:r w:rsidRPr="00E05BFE">
        <w:rPr>
          <w:rFonts w:eastAsia="Times New Roman"/>
          <w:snapToGrid w:val="0"/>
          <w:szCs w:val="24"/>
          <w:lang w:val="en-US" w:eastAsia="en-US"/>
        </w:rPr>
        <w:t xml:space="preserve"> with high </w:t>
      </w:r>
      <w:r w:rsidRPr="00E05BFE">
        <w:rPr>
          <w:rFonts w:eastAsia="Times New Roman"/>
          <w:noProof/>
          <w:snapToGrid w:val="0"/>
          <w:szCs w:val="24"/>
          <w:lang w:val="en-US" w:eastAsia="en-US"/>
        </w:rPr>
        <w:t>ductility</w:t>
      </w:r>
      <w:r w:rsidRPr="00E05BFE">
        <w:rPr>
          <w:rFonts w:eastAsia="Times New Roman"/>
          <w:snapToGrid w:val="0"/>
          <w:szCs w:val="24"/>
          <w:lang w:val="en-US" w:eastAsia="en-US"/>
        </w:rPr>
        <w:t xml:space="preserve"> and faster construction practice. In conventional rigid connected structures, the seismic energy </w:t>
      </w:r>
      <w:r w:rsidRPr="00E05BFE">
        <w:rPr>
          <w:rFonts w:eastAsia="Times New Roman"/>
          <w:noProof/>
          <w:snapToGrid w:val="0"/>
          <w:szCs w:val="24"/>
          <w:lang w:val="en-US" w:eastAsia="en-US"/>
        </w:rPr>
        <w:t>is dissipated</w:t>
      </w:r>
      <w:r w:rsidRPr="00E05BFE">
        <w:rPr>
          <w:rFonts w:eastAsia="Times New Roman"/>
          <w:snapToGrid w:val="0"/>
          <w:szCs w:val="24"/>
          <w:lang w:val="en-US" w:eastAsia="en-US"/>
        </w:rPr>
        <w:t xml:space="preserve"> in the form of plastic hinges, preferred in beams earlier to columns. During the 1994 Northridge and 1995 Kobe earthquakes, the rigidly connected steel moment frames (MR) </w:t>
      </w:r>
      <w:r w:rsidRPr="00E05BFE">
        <w:rPr>
          <w:rFonts w:eastAsia="Times New Roman"/>
          <w:noProof/>
          <w:snapToGrid w:val="0"/>
          <w:szCs w:val="24"/>
          <w:lang w:val="en-US" w:eastAsia="en-US"/>
        </w:rPr>
        <w:t>were significantly damaged</w:t>
      </w:r>
      <w:r w:rsidRPr="00E05BFE">
        <w:rPr>
          <w:rFonts w:eastAsia="Times New Roman"/>
          <w:snapToGrid w:val="0"/>
          <w:szCs w:val="24"/>
          <w:lang w:val="en-US" w:eastAsia="en-US"/>
        </w:rPr>
        <w:t xml:space="preserve"> at the beam-column joints. These seismic events diverted the attention of researchers to the behavior of beam-column joints in semi-rigid connections </w:t>
      </w:r>
      <w:r w:rsidRPr="00E05BFE">
        <w:rPr>
          <w:rFonts w:eastAsia="Times New Roman"/>
          <w:noProof/>
          <w:snapToGrid w:val="0"/>
          <w:szCs w:val="24"/>
          <w:lang w:val="en-US" w:eastAsia="en-US"/>
        </w:rPr>
        <w:t>in relation to</w:t>
      </w:r>
      <w:r w:rsidRPr="00E05BFE">
        <w:rPr>
          <w:rFonts w:eastAsia="Times New Roman"/>
          <w:snapToGrid w:val="0"/>
          <w:szCs w:val="24"/>
          <w:lang w:val="en-US" w:eastAsia="en-US"/>
        </w:rPr>
        <w:t xml:space="preserve"> the dissipation of the seismic energy in the </w:t>
      </w:r>
      <w:r w:rsidRPr="00E05BFE">
        <w:rPr>
          <w:rFonts w:eastAsia="Times New Roman"/>
          <w:noProof/>
          <w:snapToGrid w:val="0"/>
          <w:szCs w:val="24"/>
          <w:lang w:val="en-US" w:eastAsia="en-US"/>
        </w:rPr>
        <w:t>joints</w:t>
      </w:r>
      <w:r w:rsidRPr="00E05BFE">
        <w:rPr>
          <w:rFonts w:eastAsia="Times New Roman"/>
          <w:snapToGrid w:val="0"/>
          <w:szCs w:val="24"/>
          <w:lang w:val="en-US" w:eastAsia="en-US"/>
        </w:rPr>
        <w:t>.</w:t>
      </w:r>
    </w:p>
    <w:p w:rsidR="00E05BFE" w:rsidRPr="00E05BFE" w:rsidRDefault="00E05BFE" w:rsidP="00E05BFE">
      <w:pPr>
        <w:widowControl w:val="0"/>
        <w:spacing w:after="0" w:line="240" w:lineRule="auto"/>
        <w:jc w:val="both"/>
        <w:rPr>
          <w:rFonts w:eastAsia="Times New Roman"/>
          <w:snapToGrid w:val="0"/>
          <w:szCs w:val="24"/>
          <w:lang w:val="en-GB" w:eastAsia="en-US"/>
        </w:rPr>
      </w:pPr>
      <w:r w:rsidRPr="00E05BFE">
        <w:rPr>
          <w:rFonts w:eastAsia="Times New Roman"/>
          <w:snapToGrid w:val="0"/>
          <w:szCs w:val="24"/>
          <w:lang w:val="en-US" w:eastAsia="en-US"/>
        </w:rPr>
        <w:lastRenderedPageBreak/>
        <w:t xml:space="preserve">The seismic behavior of the rigid and the semi-rigid (SR) connected beam-column joints were investigated under dynamic loading analytically and experimentally during the last thirty years or so </w:t>
      </w:r>
      <w:r w:rsidRPr="00E05BFE">
        <w:rPr>
          <w:rFonts w:eastAsia="Times New Roman"/>
          <w:snapToGrid w:val="0"/>
          <w:szCs w:val="24"/>
          <w:lang w:val="en-US" w:eastAsia="en-US"/>
        </w:rPr>
        <w:fldChar w:fldCharType="begin">
          <w:fldData xml:space="preserve">PEVuZE5vdGU+PENpdGU+PEF1dGhvcj5OYWRlcjwvQXV0aG9yPjxZZWFyPjE5OTE8L1llYXI+PFJl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</w:fldData>
        </w:fldChar>
      </w:r>
      <w:r w:rsidRPr="00E05BFE">
        <w:rPr>
          <w:rFonts w:eastAsia="Times New Roman"/>
          <w:snapToGrid w:val="0"/>
          <w:szCs w:val="24"/>
          <w:lang w:val="en-US" w:eastAsia="en-US"/>
        </w:rPr>
        <w:instrText xml:space="preserve"> ADDIN EN.CITE </w:instrText>
      </w:r>
      <w:r w:rsidRPr="00E05BFE">
        <w:rPr>
          <w:rFonts w:eastAsia="Times New Roman"/>
          <w:snapToGrid w:val="0"/>
          <w:szCs w:val="24"/>
          <w:lang w:val="en-US" w:eastAsia="en-US"/>
        </w:rPr>
        <w:fldChar w:fldCharType="begin">
          <w:fldData xml:space="preserve">PEVuZE5vdGU+PENpdGU+PEF1dGhvcj5OYWRlcjwvQXV0aG9yPjxZZWFyPjE5OTE8L1llYXI+PFJl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</w:fldData>
        </w:fldChar>
      </w:r>
      <w:r w:rsidRPr="00E05BFE">
        <w:rPr>
          <w:rFonts w:eastAsia="Times New Roman"/>
          <w:snapToGrid w:val="0"/>
          <w:szCs w:val="24"/>
          <w:lang w:val="en-US" w:eastAsia="en-US"/>
        </w:rPr>
        <w:instrText xml:space="preserve"> ADDIN EN.CITE.DATA </w:instrText>
      </w:r>
      <w:r w:rsidRPr="00E05BFE">
        <w:rPr>
          <w:rFonts w:eastAsia="Times New Roman"/>
          <w:snapToGrid w:val="0"/>
          <w:szCs w:val="24"/>
          <w:lang w:val="en-US" w:eastAsia="en-US"/>
        </w:rPr>
      </w:r>
      <w:r w:rsidRPr="00E05BFE">
        <w:rPr>
          <w:rFonts w:eastAsia="Times New Roman"/>
          <w:snapToGrid w:val="0"/>
          <w:szCs w:val="24"/>
          <w:lang w:val="en-US" w:eastAsia="en-US"/>
        </w:rPr>
        <w:fldChar w:fldCharType="end"/>
      </w:r>
      <w:r w:rsidRPr="00E05BFE">
        <w:rPr>
          <w:rFonts w:eastAsia="Times New Roman"/>
          <w:snapToGrid w:val="0"/>
          <w:szCs w:val="24"/>
          <w:lang w:val="en-US" w:eastAsia="en-US"/>
        </w:rPr>
      </w:r>
      <w:r w:rsidRPr="00E05BFE">
        <w:rPr>
          <w:rFonts w:eastAsia="Times New Roman"/>
          <w:snapToGrid w:val="0"/>
          <w:szCs w:val="24"/>
          <w:lang w:val="en-US" w:eastAsia="en-US"/>
        </w:rPr>
        <w:fldChar w:fldCharType="separate"/>
      </w:r>
      <w:r w:rsidRPr="00E05BFE">
        <w:rPr>
          <w:rFonts w:eastAsia="Times New Roman"/>
          <w:noProof/>
          <w:snapToGrid w:val="0"/>
          <w:szCs w:val="24"/>
          <w:lang w:val="en-US" w:eastAsia="en-US"/>
        </w:rPr>
        <w:t>(</w:t>
      </w:r>
      <w:hyperlink w:anchor="_ENREF_3" w:tooltip="Awkar, 1999 #11" w:history="1">
        <w:r w:rsidRPr="00E05BFE">
          <w:rPr>
            <w:rFonts w:eastAsia="Times New Roman"/>
            <w:noProof/>
            <w:snapToGrid w:val="0"/>
            <w:szCs w:val="24"/>
            <w:lang w:val="en-US" w:eastAsia="en-US"/>
          </w:rPr>
          <w:t>Awkar et al. 1999</w:t>
        </w:r>
      </w:hyperlink>
      <w:r w:rsidRPr="00E05BFE">
        <w:rPr>
          <w:rFonts w:eastAsia="Times New Roman"/>
          <w:noProof/>
          <w:snapToGrid w:val="0"/>
          <w:szCs w:val="24"/>
          <w:lang w:val="en-US" w:eastAsia="en-US"/>
        </w:rPr>
        <w:t xml:space="preserve">, </w:t>
      </w:r>
      <w:hyperlink w:anchor="_ENREF_7" w:tooltip="Elnashai, 1994 #57" w:history="1">
        <w:r w:rsidRPr="00E05BFE">
          <w:rPr>
            <w:rFonts w:eastAsia="Times New Roman"/>
            <w:noProof/>
            <w:snapToGrid w:val="0"/>
            <w:szCs w:val="24"/>
            <w:lang w:val="en-US" w:eastAsia="en-US"/>
          </w:rPr>
          <w:t>Elnashai et al. 1994</w:t>
        </w:r>
      </w:hyperlink>
      <w:r w:rsidRPr="00E05BFE">
        <w:rPr>
          <w:rFonts w:eastAsia="Times New Roman"/>
          <w:noProof/>
          <w:snapToGrid w:val="0"/>
          <w:szCs w:val="24"/>
          <w:lang w:val="en-US" w:eastAsia="en-US"/>
        </w:rPr>
        <w:t xml:space="preserve">, </w:t>
      </w:r>
      <w:hyperlink w:anchor="_ENREF_16" w:tooltip="Nader, 1991 #56" w:history="1">
        <w:r w:rsidRPr="00E05BFE">
          <w:rPr>
            <w:rFonts w:eastAsia="Times New Roman"/>
            <w:noProof/>
            <w:snapToGrid w:val="0"/>
            <w:szCs w:val="24"/>
            <w:lang w:val="en-US" w:eastAsia="en-US"/>
          </w:rPr>
          <w:t>Nader et al. 1991</w:t>
        </w:r>
      </w:hyperlink>
      <w:r w:rsidRPr="00E05BFE">
        <w:rPr>
          <w:rFonts w:eastAsia="Times New Roman"/>
          <w:noProof/>
          <w:snapToGrid w:val="0"/>
          <w:szCs w:val="24"/>
          <w:lang w:val="en-US" w:eastAsia="en-US"/>
        </w:rPr>
        <w:t>)</w:t>
      </w:r>
      <w:r w:rsidRPr="00E05BFE">
        <w:rPr>
          <w:rFonts w:eastAsia="Times New Roman"/>
          <w:snapToGrid w:val="0"/>
          <w:szCs w:val="24"/>
          <w:lang w:val="en-US" w:eastAsia="en-US"/>
        </w:rPr>
        <w:fldChar w:fldCharType="end"/>
      </w:r>
      <w:r w:rsidRPr="00E05BFE">
        <w:rPr>
          <w:rFonts w:eastAsia="Times New Roman"/>
          <w:snapToGrid w:val="0"/>
          <w:szCs w:val="24"/>
          <w:lang w:val="en-US" w:eastAsia="en-US"/>
        </w:rPr>
        <w:t xml:space="preserve">. These studies revealed the efficacy of the SR connections over rigid connections with less base shear and high seismic energy dissipations </w:t>
      </w:r>
      <w:r w:rsidRPr="00E05BFE">
        <w:rPr>
          <w:rFonts w:eastAsia="Times New Roman"/>
          <w:noProof/>
          <w:snapToGrid w:val="0"/>
          <w:szCs w:val="24"/>
          <w:lang w:val="en-US" w:eastAsia="en-US"/>
        </w:rPr>
        <w:t>in theconnections</w:t>
      </w:r>
      <w:r w:rsidRPr="00E05BFE">
        <w:rPr>
          <w:rFonts w:eastAsia="Times New Roman"/>
          <w:snapToGrid w:val="0"/>
          <w:szCs w:val="24"/>
          <w:lang w:val="en-US" w:eastAsia="en-US"/>
        </w:rPr>
        <w:t xml:space="preserve"> and the material. The behavior of SR connections </w:t>
      </w:r>
      <w:r w:rsidRPr="00E05BFE">
        <w:rPr>
          <w:rFonts w:eastAsia="Times New Roman"/>
          <w:noProof/>
          <w:snapToGrid w:val="0"/>
          <w:szCs w:val="24"/>
          <w:lang w:val="en-US" w:eastAsia="en-US"/>
        </w:rPr>
        <w:t xml:space="preserve">was </w:t>
      </w:r>
      <w:r w:rsidRPr="00E05BFE">
        <w:rPr>
          <w:rFonts w:eastAsia="Times New Roman"/>
          <w:snapToGrid w:val="0"/>
          <w:szCs w:val="24"/>
          <w:lang w:val="en-US" w:eastAsia="en-US"/>
        </w:rPr>
        <w:t xml:space="preserve">studied experimentally and analytically from the last 50 years or so, </w:t>
      </w:r>
      <w:r w:rsidRPr="00E05BFE">
        <w:rPr>
          <w:rFonts w:eastAsia="Times New Roman"/>
          <w:noProof/>
          <w:snapToGrid w:val="0"/>
          <w:szCs w:val="24"/>
          <w:lang w:val="en-US" w:eastAsia="en-US"/>
        </w:rPr>
        <w:t>andan inclusive</w:t>
      </w:r>
      <w:r w:rsidRPr="00E05BFE">
        <w:rPr>
          <w:rFonts w:eastAsia="Times New Roman"/>
          <w:snapToGrid w:val="0"/>
          <w:szCs w:val="24"/>
          <w:lang w:val="en-US" w:eastAsia="en-US"/>
        </w:rPr>
        <w:t xml:space="preserve"> state-of-art review paper was presented by </w:t>
      </w:r>
      <w:hyperlink w:anchor="_ENREF_6" w:tooltip="Díaz, 2011 #41" w:history="1">
        <w:r w:rsidRPr="00E05BFE">
          <w:rPr>
            <w:rFonts w:eastAsia="Times New Roman"/>
            <w:snapToGrid w:val="0"/>
            <w:szCs w:val="24"/>
            <w:lang w:val="en-US" w:eastAsia="en-US"/>
          </w:rPr>
          <w:fldChar w:fldCharType="begin"/>
        </w:r>
        <w:r w:rsidRPr="00E05BFE">
          <w:rPr>
            <w:rFonts w:eastAsia="Times New Roman"/>
            <w:snapToGrid w:val="0"/>
            <w:szCs w:val="24"/>
            <w:lang w:val="en-US" w:eastAsia="en-US"/>
          </w:rPr>
          <w:instrText xml:space="preserve"> ADDIN EN.CITE &lt;EndNote&gt;&lt;Cite AuthorYear="1"&gt;&lt;Author&gt;Díaz&lt;/Author&gt;&lt;Year&gt;2011&lt;/Year&gt;&lt;RecNum&gt;41&lt;/RecNum&gt;&lt;DisplayText&gt;Díaz et al. (2011)&lt;/DisplayText&gt;&lt;record&gt;&lt;rec-number&gt;41&lt;/rec-number&gt;&lt;foreign-keys&gt;&lt;key app="EN" db-id="r2vvdt95az9wv4epvf6xd2dkptr2ddwpz0ps" timestamp="1537783512"&gt;41&lt;/key&gt;&lt;/foreign-keys&gt;&lt;ref-type name="Journal Article"&gt;17&lt;/ref-type&gt;&lt;contributors&gt;&lt;authors&gt;&lt;author&gt;Díaz, Concepción&lt;/author&gt;&lt;author&gt;Martí, Pascual&lt;/author&gt;&lt;author&gt;Victoria, Mariano&lt;/author&gt;&lt;author&gt;Querin, Osvaldo M&lt;/author&gt;&lt;/authors&gt;&lt;/contributors&gt;&lt;titles&gt;&lt;title&gt;Review on the modelling of joint behaviour in steel frames&lt;/title&gt;&lt;secondary-title&gt;Journal of constructional steel research&lt;/secondary-title&gt;&lt;/titles&gt;&lt;periodical&gt;&lt;full-title&gt;Journal of Constructional Steel Research&lt;/full-title&gt;&lt;/periodical&gt;&lt;pages&gt;741-758&lt;/pages&gt;&lt;volume&gt;67&lt;/volume&gt;&lt;number&gt;5&lt;/number&gt;&lt;dates&gt;&lt;year&gt;2011&lt;/year&gt;&lt;/dates&gt;&lt;isbn&gt;0143-974X&lt;/isbn&gt;&lt;urls&gt;&lt;/urls&gt;&lt;/record&gt;&lt;/Cite&gt;&lt;/EndNote&gt;</w:instrText>
        </w:r>
        <w:r w:rsidRPr="00E05BFE">
          <w:rPr>
            <w:rFonts w:eastAsia="Times New Roman"/>
            <w:snapToGrid w:val="0"/>
            <w:szCs w:val="24"/>
            <w:lang w:val="en-US" w:eastAsia="en-US"/>
          </w:rPr>
          <w:fldChar w:fldCharType="separate"/>
        </w:r>
        <w:r w:rsidRPr="00E05BFE">
          <w:rPr>
            <w:rFonts w:eastAsia="Times New Roman"/>
            <w:noProof/>
            <w:snapToGrid w:val="0"/>
            <w:szCs w:val="24"/>
            <w:lang w:val="en-US" w:eastAsia="en-US"/>
          </w:rPr>
          <w:t>Díaz et al. (2011)</w:t>
        </w:r>
        <w:r w:rsidRPr="00E05BFE">
          <w:rPr>
            <w:rFonts w:eastAsia="Times New Roman"/>
            <w:snapToGrid w:val="0"/>
            <w:szCs w:val="24"/>
            <w:lang w:val="en-US" w:eastAsia="en-US"/>
          </w:rPr>
          <w:fldChar w:fldCharType="end"/>
        </w:r>
      </w:hyperlink>
      <w:r w:rsidRPr="00E05BFE">
        <w:rPr>
          <w:rFonts w:eastAsia="Times New Roman"/>
          <w:snapToGrid w:val="0"/>
          <w:szCs w:val="20"/>
          <w:lang w:val="en-US" w:eastAsia="en-US"/>
        </w:rPr>
        <w:t xml:space="preserve"> </w:t>
      </w:r>
      <w:r w:rsidRPr="00E05BFE">
        <w:rPr>
          <w:rFonts w:eastAsia="Times New Roman"/>
          <w:snapToGrid w:val="0"/>
          <w:szCs w:val="24"/>
          <w:lang w:val="en-US" w:eastAsia="en-US"/>
        </w:rPr>
        <w:t xml:space="preserve">considering the growth </w:t>
      </w:r>
      <w:r w:rsidRPr="00E05BFE">
        <w:rPr>
          <w:rFonts w:eastAsia="Times New Roman"/>
          <w:noProof/>
          <w:snapToGrid w:val="0"/>
          <w:szCs w:val="24"/>
          <w:lang w:val="en-US" w:eastAsia="en-US"/>
        </w:rPr>
        <w:t>of the</w:t>
      </w:r>
      <w:r w:rsidRPr="00E05BFE">
        <w:rPr>
          <w:rFonts w:eastAsia="Times New Roman"/>
          <w:snapToGrid w:val="0"/>
          <w:szCs w:val="24"/>
          <w:lang w:val="en-US" w:eastAsia="en-US"/>
        </w:rPr>
        <w:t xml:space="preserve"> SR connection in the last 19</w:t>
      </w:r>
      <w:r w:rsidRPr="00E05BFE">
        <w:rPr>
          <w:rFonts w:eastAsia="Times New Roman"/>
          <w:snapToGrid w:val="0"/>
          <w:szCs w:val="24"/>
          <w:vertAlign w:val="superscript"/>
          <w:lang w:val="en-US" w:eastAsia="en-US"/>
        </w:rPr>
        <w:t>th</w:t>
      </w:r>
      <w:r w:rsidRPr="00E05BFE">
        <w:rPr>
          <w:rFonts w:eastAsia="Times New Roman"/>
          <w:snapToGrid w:val="0"/>
          <w:szCs w:val="24"/>
          <w:lang w:val="en-US" w:eastAsia="en-US"/>
        </w:rPr>
        <w:t xml:space="preserve"> century. The various standards also </w:t>
      </w:r>
      <w:r w:rsidRPr="00E05BFE">
        <w:rPr>
          <w:rFonts w:eastAsia="Times New Roman"/>
          <w:noProof/>
          <w:snapToGrid w:val="0"/>
          <w:szCs w:val="24"/>
          <w:lang w:val="en-US" w:eastAsia="en-US"/>
        </w:rPr>
        <w:t>considered</w:t>
      </w:r>
      <w:r w:rsidRPr="00E05BFE">
        <w:rPr>
          <w:rFonts w:eastAsia="Times New Roman"/>
          <w:snapToGrid w:val="0"/>
          <w:szCs w:val="24"/>
          <w:lang w:val="en-US" w:eastAsia="en-US"/>
        </w:rPr>
        <w:t xml:space="preserve"> the SR connections and described their behavior that depended on their moment-rotation relationship </w:t>
      </w:r>
      <w:r w:rsidRPr="00E05BFE">
        <w:rPr>
          <w:rFonts w:eastAsia="Times New Roman"/>
          <w:snapToGrid w:val="0"/>
          <w:szCs w:val="24"/>
          <w:lang w:val="en-US" w:eastAsia="en-US"/>
        </w:rPr>
        <w:fldChar w:fldCharType="begin"/>
      </w:r>
      <w:r w:rsidRPr="00E05BFE">
        <w:rPr>
          <w:rFonts w:eastAsia="Times New Roman"/>
          <w:snapToGrid w:val="0"/>
          <w:szCs w:val="24"/>
          <w:lang w:val="en-US" w:eastAsia="en-US"/>
        </w:rPr>
        <w:instrText xml:space="preserve"> ADDIN EN.CITE &lt;EndNote&gt;&lt;Cite AuthorYear="1"&gt;&lt;Author&gt;Eurocode&lt;/Author&gt;&lt;Year&gt;2005&lt;/Year&gt;&lt;RecNum&gt;10&lt;/RecNum&gt;&lt;DisplayText&gt;(ANSI/AISC 2016, Eurocode (2005), IS-800 2007)&lt;/DisplayText&gt;&lt;record&gt;&lt;rec-number&gt;10&lt;/rec-number&gt;&lt;foreign-keys&gt;&lt;key app="EN" db-id="r2vvdt95az9wv4epvf6xd2dkptr2ddwpz0ps" timestamp="1530694186"&gt;10&lt;/key&gt;&lt;/foreign-keys&gt;&lt;ref-type name="Journal Article"&gt;17&lt;/ref-type&gt;&lt;contributors&gt;&lt;authors&gt;&lt;author&gt;Eurocode&lt;/author&gt;&lt;/authors&gt;&lt;/contributors&gt;&lt;titles&gt;&lt;title&gt;Eurocode 3: Design of Steel Structures (Part 1-8: Design of Joints)&lt;/title&gt;&lt;/titles&gt;&lt;volume&gt;1&lt;/volume&gt;&lt;dates&gt;&lt;year&gt;2005&lt;/year&gt;&lt;/dates&gt;&lt;pub-location&gt;B-1050 Brussels&lt;/pub-location&gt;&lt;publisher&gt;European Committee for Standardization&lt;/publisher&gt;&lt;urls&gt;&lt;/urls&gt;&lt;/record&gt;&lt;/Cite&gt;&lt;Cite&gt;&lt;Author&gt;ANSI/AISC&lt;/Author&gt;&lt;Year&gt;2016&lt;/Year&gt;&lt;RecNum&gt;16&lt;/RecNum&gt;&lt;record&gt;&lt;rec-number&gt;16&lt;/rec-number&gt;&lt;foreign-keys&gt;&lt;key app="EN" db-id="r2vvdt95az9wv4epvf6xd2dkptr2ddwpz0ps" timestamp="1530705212"&gt;16&lt;/key&gt;&lt;/foreign-keys&gt;&lt;ref-type name="Journal Article"&gt;17&lt;/ref-type&gt;&lt;contributors&gt;&lt;authors&gt;&lt;author&gt;ANSI/AISC&lt;/author&gt;&lt;/authors&gt;&lt;/contributors&gt;&lt;titles&gt;&lt;title&gt;ANSI/AISC 360-16 (2010): Specification for Structural Steel Buildings &lt;/title&gt;&lt;/titles&gt;&lt;dates&gt;&lt;year&gt;2016&lt;/year&gt;&lt;/dates&gt;&lt;publisher&gt;American Institute of Steel Construction Inc&lt;/publisher&gt;&lt;urls&gt;&lt;/urls&gt;&lt;/record&gt;&lt;/Cite&gt;&lt;Cite&gt;&lt;Author&gt;IS&lt;/Author&gt;&lt;Year&gt;2007&lt;/Year&gt;&lt;RecNum&gt;67&lt;/RecNum&gt;&lt;record&gt;&lt;rec-number&gt;67&lt;/rec-number&gt;&lt;foreign-keys&gt;&lt;key app="EN" db-id="r2vvdt95az9wv4epvf6xd2dkptr2ddwpz0ps" timestamp="1537799006"&gt;67&lt;/key&gt;&lt;/foreign-keys&gt;&lt;ref-type name="Journal Article"&gt;17&lt;/ref-type&gt;&lt;contributors&gt;&lt;authors&gt;&lt;author&gt;IS-800&lt;/author&gt;&lt;/authors&gt;&lt;/contributors&gt;&lt;titles&gt;&lt;title&gt;IS-800 (2007): General Construction in Steel-Code of Practice &lt;/title&gt;&lt;/titles&gt;&lt;volume&gt;3rd Revision&lt;/volume&gt;&lt;dates&gt;&lt;year&gt;2007&lt;/year&gt;&lt;/dates&gt;&lt;publisher&gt;Beureau of Indian Standards, New Delhi&lt;/publisher&gt;&lt;urls&gt;&lt;/urls&gt;&lt;/record&gt;&lt;/Cite&gt;&lt;/EndNote&gt;</w:instrText>
      </w:r>
      <w:r w:rsidRPr="00E05BFE">
        <w:rPr>
          <w:rFonts w:eastAsia="Times New Roman"/>
          <w:snapToGrid w:val="0"/>
          <w:szCs w:val="24"/>
          <w:lang w:val="en-US" w:eastAsia="en-US"/>
        </w:rPr>
        <w:fldChar w:fldCharType="separate"/>
      </w:r>
      <w:r w:rsidRPr="00E05BFE">
        <w:rPr>
          <w:rFonts w:eastAsia="Times New Roman"/>
          <w:noProof/>
          <w:snapToGrid w:val="0"/>
          <w:szCs w:val="24"/>
          <w:lang w:val="en-US" w:eastAsia="en-US"/>
        </w:rPr>
        <w:t>(</w:t>
      </w:r>
      <w:hyperlink w:anchor="_ENREF_1" w:tooltip="ANSI/AISC, 2016 #16" w:history="1">
        <w:r w:rsidRPr="00E05BFE">
          <w:rPr>
            <w:rFonts w:eastAsia="Times New Roman"/>
            <w:noProof/>
            <w:snapToGrid w:val="0"/>
            <w:szCs w:val="24"/>
            <w:lang w:val="en-US" w:eastAsia="en-US"/>
          </w:rPr>
          <w:t>ANSI/AISC 2016</w:t>
        </w:r>
      </w:hyperlink>
      <w:r w:rsidRPr="00E05BFE">
        <w:rPr>
          <w:rFonts w:eastAsia="Times New Roman"/>
          <w:noProof/>
          <w:snapToGrid w:val="0"/>
          <w:szCs w:val="24"/>
          <w:lang w:val="en-US" w:eastAsia="en-US"/>
        </w:rPr>
        <w:t xml:space="preserve">, </w:t>
      </w:r>
      <w:hyperlink w:anchor="_ENREF_8" w:tooltip="Eurocode, 2005 #10" w:history="1">
        <w:r w:rsidRPr="00E05BFE">
          <w:rPr>
            <w:rFonts w:eastAsia="Times New Roman"/>
            <w:noProof/>
            <w:snapToGrid w:val="0"/>
            <w:szCs w:val="24"/>
            <w:lang w:val="en-US" w:eastAsia="en-US"/>
          </w:rPr>
          <w:t>Eurocode (2005)</w:t>
        </w:r>
      </w:hyperlink>
      <w:r w:rsidRPr="00E05BFE">
        <w:rPr>
          <w:rFonts w:eastAsia="Times New Roman"/>
          <w:noProof/>
          <w:snapToGrid w:val="0"/>
          <w:szCs w:val="24"/>
          <w:lang w:val="en-US" w:eastAsia="en-US"/>
        </w:rPr>
        <w:t xml:space="preserve">, </w:t>
      </w:r>
      <w:hyperlink w:anchor="_ENREF_12" w:tooltip="IS-800, 2007 #67" w:history="1">
        <w:r w:rsidRPr="00E05BFE">
          <w:rPr>
            <w:rFonts w:eastAsia="Times New Roman"/>
            <w:noProof/>
            <w:snapToGrid w:val="0"/>
            <w:szCs w:val="24"/>
            <w:lang w:val="en-US" w:eastAsia="en-US"/>
          </w:rPr>
          <w:t>IS-800 2007</w:t>
        </w:r>
      </w:hyperlink>
      <w:r w:rsidRPr="00E05BFE">
        <w:rPr>
          <w:rFonts w:eastAsia="Times New Roman"/>
          <w:noProof/>
          <w:snapToGrid w:val="0"/>
          <w:szCs w:val="24"/>
          <w:lang w:val="en-US" w:eastAsia="en-US"/>
        </w:rPr>
        <w:t>)</w:t>
      </w:r>
      <w:r w:rsidRPr="00E05BFE">
        <w:rPr>
          <w:rFonts w:eastAsia="Times New Roman"/>
          <w:snapToGrid w:val="0"/>
          <w:szCs w:val="24"/>
          <w:lang w:val="en-US" w:eastAsia="en-US"/>
        </w:rPr>
        <w:fldChar w:fldCharType="end"/>
      </w:r>
      <w:r w:rsidRPr="00E05BFE">
        <w:rPr>
          <w:rFonts w:eastAsia="Times New Roman"/>
          <w:snapToGrid w:val="0"/>
          <w:szCs w:val="24"/>
          <w:lang w:val="en-US" w:eastAsia="en-US"/>
        </w:rPr>
        <w:t xml:space="preserve">. </w:t>
      </w:r>
      <w:hyperlink w:anchor="_ENREF_18" w:tooltip="Sekulovic, 2008 #107" w:history="1">
        <w:r w:rsidRPr="00E05BFE">
          <w:rPr>
            <w:rFonts w:eastAsia="Times New Roman"/>
            <w:snapToGrid w:val="0"/>
            <w:szCs w:val="24"/>
            <w:lang w:val="en-US" w:eastAsia="en-US"/>
          </w:rPr>
          <w:fldChar w:fldCharType="begin"/>
        </w:r>
        <w:r w:rsidRPr="00E05BFE">
          <w:rPr>
            <w:rFonts w:eastAsia="Times New Roman"/>
            <w:snapToGrid w:val="0"/>
            <w:szCs w:val="24"/>
            <w:lang w:val="en-US" w:eastAsia="en-US"/>
          </w:rPr>
          <w:instrText xml:space="preserve"> ADDIN EN.CITE &lt;EndNote&gt;&lt;Cite AuthorYear="1"&gt;&lt;Author&gt;Sekulovic&lt;/Author&gt;&lt;Year&gt;2008&lt;/Year&gt;&lt;RecNum&gt;107&lt;/RecNum&gt;&lt;DisplayText&gt;Sekulovic et al. (2008)&lt;/DisplayText&gt;&lt;record&gt;&lt;rec-number&gt;107&lt;/rec-number&gt;&lt;foreign-keys&gt;&lt;key app="EN" db-id="r2vvdt95az9wv4epvf6xd2dkptr2ddwpz0ps" timestamp="1548226918"&gt;107&lt;/key&gt;&lt;/foreign-keys&gt;&lt;ref-type name="Journal Article"&gt;17&lt;/ref-type&gt;&lt;contributors&gt;&lt;authors&gt;&lt;author&gt;Sekulovic, M&lt;/author&gt;&lt;author&gt;Nefovska-Danilovic, M&lt;/author&gt;&lt;/authors&gt;&lt;/contributors&gt;&lt;titles&gt;&lt;title&gt;Contribution to transient analysis of inelastic steel frames with semi-rigid connections&lt;/title&gt;&lt;secondary-title&gt;Engineering Structures&lt;/secondary-title&gt;&lt;/titles&gt;&lt;periodical&gt;&lt;full-title&gt;Engineering structures&lt;/full-title&gt;&lt;/periodical&gt;&lt;pages&gt;976-989&lt;/pages&gt;&lt;volume&gt;30&lt;/volume&gt;&lt;number&gt;4&lt;/number&gt;&lt;dates&gt;&lt;year&gt;2008&lt;/year&gt;&lt;/dates&gt;&lt;isbn&gt;0141-0296&lt;/isbn&gt;&lt;urls&gt;&lt;/urls&gt;&lt;/record&gt;&lt;/Cite&gt;&lt;/EndNote&gt;</w:instrText>
        </w:r>
        <w:r w:rsidRPr="00E05BFE">
          <w:rPr>
            <w:rFonts w:eastAsia="Times New Roman"/>
            <w:snapToGrid w:val="0"/>
            <w:szCs w:val="24"/>
            <w:lang w:val="en-US" w:eastAsia="en-US"/>
          </w:rPr>
          <w:fldChar w:fldCharType="separate"/>
        </w:r>
        <w:r w:rsidRPr="00E05BFE">
          <w:rPr>
            <w:rFonts w:eastAsia="Times New Roman"/>
            <w:noProof/>
            <w:snapToGrid w:val="0"/>
            <w:szCs w:val="24"/>
            <w:lang w:val="en-US" w:eastAsia="en-US"/>
          </w:rPr>
          <w:t>Sekulovic et al. (2008)</w:t>
        </w:r>
        <w:r w:rsidRPr="00E05BFE">
          <w:rPr>
            <w:rFonts w:eastAsia="Times New Roman"/>
            <w:snapToGrid w:val="0"/>
            <w:szCs w:val="24"/>
            <w:lang w:val="en-US" w:eastAsia="en-US"/>
          </w:rPr>
          <w:fldChar w:fldCharType="end"/>
        </w:r>
      </w:hyperlink>
      <w:r w:rsidRPr="00E05BFE">
        <w:rPr>
          <w:rFonts w:eastAsia="Times New Roman"/>
          <w:snapToGrid w:val="0"/>
          <w:szCs w:val="20"/>
          <w:lang w:val="en-US" w:eastAsia="en-US"/>
        </w:rPr>
        <w:t xml:space="preserve"> </w:t>
      </w:r>
      <w:r w:rsidRPr="00E05BFE">
        <w:rPr>
          <w:rFonts w:eastAsia="Times New Roman"/>
          <w:snapToGrid w:val="0"/>
          <w:szCs w:val="24"/>
          <w:lang w:val="en-GB" w:eastAsia="en-US"/>
        </w:rPr>
        <w:t xml:space="preserve">investigated the seismic behavior of SR frames at different PGA levels and examined the seismic energy dissipation in the connections and plastic hinges. </w:t>
      </w:r>
      <w:hyperlink w:anchor="_ENREF_10" w:tooltip="Feizi, 2015 #65" w:history="1">
        <w:r w:rsidRPr="00E05BFE">
          <w:rPr>
            <w:rFonts w:eastAsia="Times New Roman"/>
            <w:snapToGrid w:val="0"/>
            <w:szCs w:val="24"/>
            <w:lang w:val="en-GB" w:eastAsia="en-US"/>
          </w:rPr>
          <w:fldChar w:fldCharType="begin"/>
        </w:r>
        <w:r w:rsidRPr="00E05BFE">
          <w:rPr>
            <w:rFonts w:eastAsia="Times New Roman"/>
            <w:snapToGrid w:val="0"/>
            <w:szCs w:val="24"/>
            <w:lang w:val="en-GB" w:eastAsia="en-US"/>
          </w:rPr>
          <w:instrText xml:space="preserve"> ADDIN EN.CITE &lt;EndNote&gt;&lt;Cite AuthorYear="1"&gt;&lt;Author&gt;Feizi&lt;/Author&gt;&lt;Year&gt;2015&lt;/Year&gt;&lt;RecNum&gt;65&lt;/RecNum&gt;&lt;DisplayText&gt;Feizi et al. (2015)&lt;/DisplayText&gt;&lt;record&gt;&lt;rec-number&gt;65&lt;/rec-number&gt;&lt;foreign-keys&gt;&lt;key app="EN" db-id="r2vvdt95az9wv4epvf6xd2dkptr2ddwpz0ps" timestamp="1537791102"&gt;65&lt;/key&gt;&lt;/foreign-keys&gt;&lt;ref-type name="Journal Article"&gt;17&lt;/ref-type&gt;&lt;contributors&gt;&lt;authors&gt;&lt;author&gt;Feizi, M Gholipour&lt;/author&gt;&lt;author&gt;Mojtahedi, A&lt;/author&gt;&lt;author&gt;Nourani, V&lt;/author&gt;&lt;/authors&gt;&lt;/contributors&gt;&lt;titles&gt;&lt;title&gt;Effect of semi-rigid connections in improvement of seismic performance of steel moment-resisting frames&lt;/title&gt;&lt;secondary-title&gt;Steel and Composite Structures&lt;/secondary-title&gt;&lt;/titles&gt;&lt;periodical&gt;&lt;full-title&gt;Steel and Composite Structures&lt;/full-title&gt;&lt;/periodical&gt;&lt;pages&gt;467-484&lt;/pages&gt;&lt;volume&gt;19&lt;/volume&gt;&lt;number&gt;2&lt;/number&gt;&lt;dates&gt;&lt;year&gt;2015&lt;/year&gt;&lt;/dates&gt;&lt;isbn&gt;1229-9367&lt;/isbn&gt;&lt;urls&gt;&lt;/urls&gt;&lt;/record&gt;&lt;/Cite&gt;&lt;/EndNote&gt;</w:instrText>
        </w:r>
        <w:r w:rsidRPr="00E05BFE">
          <w:rPr>
            <w:rFonts w:eastAsia="Times New Roman"/>
            <w:snapToGrid w:val="0"/>
            <w:szCs w:val="24"/>
            <w:lang w:val="en-GB" w:eastAsia="en-US"/>
          </w:rPr>
          <w:fldChar w:fldCharType="separate"/>
        </w:r>
        <w:r w:rsidRPr="00E05BFE">
          <w:rPr>
            <w:rFonts w:eastAsia="Times New Roman"/>
            <w:noProof/>
            <w:snapToGrid w:val="0"/>
            <w:szCs w:val="24"/>
            <w:lang w:val="en-GB" w:eastAsia="en-US"/>
          </w:rPr>
          <w:t>Feizi et al. (2015)</w:t>
        </w:r>
        <w:r w:rsidRPr="00E05BFE">
          <w:rPr>
            <w:rFonts w:eastAsia="Times New Roman"/>
            <w:snapToGrid w:val="0"/>
            <w:szCs w:val="24"/>
            <w:lang w:val="en-GB" w:eastAsia="en-US"/>
          </w:rPr>
          <w:fldChar w:fldCharType="end"/>
        </w:r>
      </w:hyperlink>
      <w:r w:rsidRPr="00E05BFE">
        <w:rPr>
          <w:rFonts w:eastAsia="Times New Roman"/>
          <w:snapToGrid w:val="0"/>
          <w:szCs w:val="24"/>
          <w:lang w:val="en-GB" w:eastAsia="en-US"/>
        </w:rPr>
        <w:t xml:space="preserve"> and </w:t>
      </w:r>
      <w:hyperlink w:anchor="_ENREF_4" w:tooltip="Bayat, 2017 #66" w:history="1">
        <w:r w:rsidRPr="00E05BFE">
          <w:rPr>
            <w:rFonts w:eastAsia="Times New Roman"/>
            <w:snapToGrid w:val="0"/>
            <w:szCs w:val="24"/>
            <w:lang w:val="en-GB" w:eastAsia="en-US"/>
          </w:rPr>
          <w:fldChar w:fldCharType="begin"/>
        </w:r>
        <w:r w:rsidRPr="00E05BFE">
          <w:rPr>
            <w:rFonts w:eastAsia="Times New Roman"/>
            <w:snapToGrid w:val="0"/>
            <w:szCs w:val="24"/>
            <w:lang w:val="en-GB" w:eastAsia="en-US"/>
          </w:rPr>
          <w:instrText xml:space="preserve"> ADDIN EN.CITE &lt;EndNote&gt;&lt;Cite AuthorYear="1"&gt;&lt;Author&gt;Bayat&lt;/Author&gt;&lt;Year&gt;2017&lt;/Year&gt;&lt;RecNum&gt;66&lt;/RecNum&gt;&lt;DisplayText&gt;Bayat et al. (2017)&lt;/DisplayText&gt;&lt;record&gt;&lt;rec-number&gt;66&lt;/rec-number&gt;&lt;foreign-keys&gt;&lt;key app="EN" db-id="r2vvdt95az9wv4epvf6xd2dkptr2ddwpz0ps" timestamp="1537791142"&gt;66&lt;/key&gt;&lt;/foreign-keys&gt;&lt;ref-type name="Journal Article"&gt;17&lt;/ref-type&gt;&lt;contributors&gt;&lt;authors&gt;&lt;author&gt;Bayat, Mohammad&lt;/author&gt;&lt;author&gt;Zahrai, Seyed Mehdi&lt;/author&gt;&lt;/authors&gt;&lt;/contributors&gt;&lt;titles&gt;&lt;title&gt;Seismic performance of mid-rise steel frames with semi-rigid connections having different moment capacity&lt;/title&gt;&lt;secondary-title&gt;Steel and Composite Structures&lt;/secondary-title&gt;&lt;/titles&gt;&lt;periodical&gt;&lt;full-title&gt;Steel and Composite Structures&lt;/full-title&gt;&lt;/periodical&gt;&lt;pages&gt;1-17&lt;/pages&gt;&lt;volume&gt;25&lt;/volume&gt;&lt;number&gt;1&lt;/number&gt;&lt;dates&gt;&lt;year&gt;2017&lt;/year&gt;&lt;/dates&gt;&lt;isbn&gt;1229-9367&lt;/isbn&gt;&lt;urls&gt;&lt;/urls&gt;&lt;/record&gt;&lt;/Cite&gt;&lt;/EndNote&gt;</w:instrText>
        </w:r>
        <w:r w:rsidRPr="00E05BFE">
          <w:rPr>
            <w:rFonts w:eastAsia="Times New Roman"/>
            <w:snapToGrid w:val="0"/>
            <w:szCs w:val="24"/>
            <w:lang w:val="en-GB" w:eastAsia="en-US"/>
          </w:rPr>
          <w:fldChar w:fldCharType="separate"/>
        </w:r>
        <w:r w:rsidRPr="00E05BFE">
          <w:rPr>
            <w:rFonts w:eastAsia="Times New Roman"/>
            <w:noProof/>
            <w:snapToGrid w:val="0"/>
            <w:szCs w:val="24"/>
            <w:lang w:val="en-GB" w:eastAsia="en-US"/>
          </w:rPr>
          <w:t>Bayat et al. (2017)</w:t>
        </w:r>
        <w:r w:rsidRPr="00E05BFE">
          <w:rPr>
            <w:rFonts w:eastAsia="Times New Roman"/>
            <w:snapToGrid w:val="0"/>
            <w:szCs w:val="24"/>
            <w:lang w:val="en-GB" w:eastAsia="en-US"/>
          </w:rPr>
          <w:fldChar w:fldCharType="end"/>
        </w:r>
      </w:hyperlink>
      <w:r w:rsidRPr="00E05BFE">
        <w:rPr>
          <w:rFonts w:eastAsia="Times New Roman"/>
          <w:snapToGrid w:val="0"/>
          <w:szCs w:val="24"/>
          <w:lang w:val="en-GB" w:eastAsia="en-US"/>
        </w:rPr>
        <w:t xml:space="preserve"> investigated the performance of structures under earthquakes by incorporating hybrid frames (combination of the rigid and the semi-rigid connections) and suggested </w:t>
      </w:r>
      <w:r w:rsidRPr="00E05BFE">
        <w:rPr>
          <w:rFonts w:eastAsia="Times New Roman"/>
          <w:noProof/>
          <w:snapToGrid w:val="0"/>
          <w:szCs w:val="24"/>
          <w:lang w:val="en-GB" w:eastAsia="en-US"/>
        </w:rPr>
        <w:t>the optimum</w:t>
      </w:r>
      <w:r w:rsidRPr="00E05BFE">
        <w:rPr>
          <w:rFonts w:eastAsia="Times New Roman"/>
          <w:snapToGrid w:val="0"/>
          <w:szCs w:val="24"/>
          <w:lang w:val="en-GB" w:eastAsia="en-US"/>
        </w:rPr>
        <w:t xml:space="preserve"> locations and different patterns for different heights of buildings. The standard and accurate nonlinear time-history analysis (NTHA) </w:t>
      </w:r>
      <w:r w:rsidRPr="00E05BFE">
        <w:rPr>
          <w:rFonts w:eastAsia="Times New Roman"/>
          <w:noProof/>
          <w:snapToGrid w:val="0"/>
          <w:szCs w:val="24"/>
          <w:lang w:val="en-GB" w:eastAsia="en-US"/>
        </w:rPr>
        <w:t>is generally used</w:t>
      </w:r>
      <w:r w:rsidRPr="00E05BFE">
        <w:rPr>
          <w:rFonts w:eastAsia="Times New Roman"/>
          <w:snapToGrid w:val="0"/>
          <w:szCs w:val="24"/>
          <w:lang w:val="en-GB" w:eastAsia="en-US"/>
        </w:rPr>
        <w:t xml:space="preserve"> for these studies, </w:t>
      </w:r>
      <w:r w:rsidRPr="00E05BFE">
        <w:rPr>
          <w:rFonts w:eastAsia="Times New Roman"/>
          <w:noProof/>
          <w:snapToGrid w:val="0"/>
          <w:szCs w:val="24"/>
          <w:lang w:val="en-GB" w:eastAsia="en-US"/>
        </w:rPr>
        <w:t>but</w:t>
      </w:r>
      <w:r w:rsidRPr="00E05BFE">
        <w:rPr>
          <w:rFonts w:eastAsia="Times New Roman"/>
          <w:snapToGrid w:val="0"/>
          <w:szCs w:val="24"/>
          <w:lang w:val="en-GB" w:eastAsia="en-US"/>
        </w:rPr>
        <w:t xml:space="preserve"> NTHA was never </w:t>
      </w:r>
      <w:r w:rsidRPr="00E05BFE">
        <w:rPr>
          <w:rFonts w:eastAsia="Times New Roman"/>
          <w:noProof/>
          <w:snapToGrid w:val="0"/>
          <w:szCs w:val="24"/>
          <w:lang w:val="en-GB" w:eastAsia="en-US"/>
        </w:rPr>
        <w:t>the first</w:t>
      </w:r>
      <w:r w:rsidRPr="00E05BFE">
        <w:rPr>
          <w:rFonts w:eastAsia="Times New Roman"/>
          <w:snapToGrid w:val="0"/>
          <w:szCs w:val="24"/>
          <w:lang w:val="en-GB" w:eastAsia="en-US"/>
        </w:rPr>
        <w:t xml:space="preserve"> choice for the designers due to the complexity </w:t>
      </w:r>
      <w:r w:rsidRPr="00E05BFE">
        <w:rPr>
          <w:rFonts w:eastAsia="Times New Roman"/>
          <w:noProof/>
          <w:snapToGrid w:val="0"/>
          <w:szCs w:val="24"/>
          <w:lang w:val="en-GB" w:eastAsia="en-US"/>
        </w:rPr>
        <w:t>of</w:t>
      </w:r>
      <w:r w:rsidRPr="00E05BFE">
        <w:rPr>
          <w:rFonts w:eastAsia="Times New Roman"/>
          <w:snapToGrid w:val="0"/>
          <w:szCs w:val="24"/>
          <w:lang w:val="en-GB" w:eastAsia="en-US"/>
        </w:rPr>
        <w:t xml:space="preserve"> the </w:t>
      </w:r>
      <w:r w:rsidRPr="00E05BFE">
        <w:rPr>
          <w:rFonts w:eastAsia="Times New Roman"/>
          <w:noProof/>
          <w:snapToGrid w:val="0"/>
          <w:szCs w:val="24"/>
          <w:lang w:val="en-GB" w:eastAsia="en-US"/>
        </w:rPr>
        <w:t>analysis</w:t>
      </w:r>
      <w:r w:rsidRPr="00E05BFE">
        <w:rPr>
          <w:rFonts w:eastAsia="Times New Roman"/>
          <w:snapToGrid w:val="0"/>
          <w:szCs w:val="24"/>
          <w:lang w:val="en-GB" w:eastAsia="en-US"/>
        </w:rPr>
        <w:t xml:space="preserve">. Thus, simplified nonlinear-static procedures (NSP) such as the capacity spectrum method </w:t>
      </w:r>
      <w:r w:rsidRPr="00E05BFE">
        <w:rPr>
          <w:rFonts w:eastAsia="Times New Roman"/>
          <w:snapToGrid w:val="0"/>
          <w:szCs w:val="24"/>
          <w:lang w:val="en-GB" w:eastAsia="en-US"/>
        </w:rPr>
        <w:fldChar w:fldCharType="begin"/>
      </w:r>
      <w:r w:rsidRPr="00E05BFE">
        <w:rPr>
          <w:rFonts w:eastAsia="Times New Roman"/>
          <w:snapToGrid w:val="0"/>
          <w:szCs w:val="24"/>
          <w:lang w:val="en-GB" w:eastAsia="en-US"/>
        </w:rPr>
        <w:instrText xml:space="preserve"> ADDIN EN.CITE &lt;EndNote&gt;&lt;Cite&gt;&lt;Author&gt;Freeman&lt;/Author&gt;&lt;Year&gt;1978&lt;/Year&gt;&lt;RecNum&gt;108&lt;/RecNum&gt;&lt;DisplayText&gt;(Freeman 1978)&lt;/DisplayText&gt;&lt;record&gt;&lt;rec-number&gt;108&lt;/rec-number&gt;&lt;foreign-keys&gt;&lt;key app="EN" db-id="r2vvdt95az9wv4epvf6xd2dkptr2ddwpz0ps" timestamp="1548227081"&gt;108&lt;/key&gt;&lt;/foreign-keys&gt;&lt;ref-type name="Journal Article"&gt;17&lt;/ref-type&gt;&lt;contributors&gt;&lt;authors&gt;&lt;author&gt;Freeman, Sigmund A&lt;/author&gt;&lt;/authors&gt;&lt;/contributors&gt;&lt;titles&gt;&lt;title&gt;Prediction of response of concrete buildings to severe earthquake motion&lt;/title&gt;&lt;secondary-title&gt;Special Publication&lt;/secondary-title&gt;&lt;/titles&gt;&lt;periodical&gt;&lt;full-title&gt;Special Publication&lt;/full-title&gt;&lt;/periodical&gt;&lt;pages&gt;589-606&lt;/pages&gt;&lt;volume&gt;55&lt;/volume&gt;&lt;dates&gt;&lt;year&gt;1978&lt;/year&gt;&lt;/dates&gt;&lt;urls&gt;&lt;/urls&gt;&lt;/record&gt;&lt;/Cite&gt;&lt;/EndNote&gt;</w:instrText>
      </w:r>
      <w:r w:rsidRPr="00E05BFE">
        <w:rPr>
          <w:rFonts w:eastAsia="Times New Roman"/>
          <w:snapToGrid w:val="0"/>
          <w:szCs w:val="24"/>
          <w:lang w:val="en-GB" w:eastAsia="en-US"/>
        </w:rPr>
        <w:fldChar w:fldCharType="separate"/>
      </w:r>
      <w:r w:rsidRPr="00E05BFE">
        <w:rPr>
          <w:rFonts w:eastAsia="Times New Roman"/>
          <w:noProof/>
          <w:snapToGrid w:val="0"/>
          <w:szCs w:val="24"/>
          <w:lang w:val="en-GB" w:eastAsia="en-US"/>
        </w:rPr>
        <w:t>(</w:t>
      </w:r>
      <w:hyperlink w:anchor="_ENREF_11" w:tooltip="Freeman, 1978 #108" w:history="1">
        <w:r w:rsidRPr="00E05BFE">
          <w:rPr>
            <w:rFonts w:eastAsia="Times New Roman"/>
            <w:noProof/>
            <w:snapToGrid w:val="0"/>
            <w:szCs w:val="24"/>
            <w:lang w:val="en-GB" w:eastAsia="en-US"/>
          </w:rPr>
          <w:t>Freeman 1978</w:t>
        </w:r>
      </w:hyperlink>
      <w:r w:rsidRPr="00E05BFE">
        <w:rPr>
          <w:rFonts w:eastAsia="Times New Roman"/>
          <w:noProof/>
          <w:snapToGrid w:val="0"/>
          <w:szCs w:val="24"/>
          <w:lang w:val="en-GB" w:eastAsia="en-US"/>
        </w:rPr>
        <w:t>)</w:t>
      </w:r>
      <w:r w:rsidRPr="00E05BFE">
        <w:rPr>
          <w:rFonts w:eastAsia="Times New Roman"/>
          <w:snapToGrid w:val="0"/>
          <w:szCs w:val="24"/>
          <w:lang w:val="en-GB" w:eastAsia="en-US"/>
        </w:rPr>
        <w:fldChar w:fldCharType="end"/>
      </w:r>
      <w:r w:rsidRPr="00E05BFE">
        <w:rPr>
          <w:rFonts w:eastAsia="Times New Roman"/>
          <w:snapToGrid w:val="0"/>
          <w:szCs w:val="24"/>
          <w:lang w:val="en-GB" w:eastAsia="en-US"/>
        </w:rPr>
        <w:t xml:space="preserve"> and the N2 method </w:t>
      </w:r>
      <w:r w:rsidRPr="00E05BFE">
        <w:rPr>
          <w:rFonts w:eastAsia="Times New Roman"/>
          <w:snapToGrid w:val="0"/>
          <w:szCs w:val="24"/>
          <w:lang w:val="en-GB" w:eastAsia="en-US"/>
        </w:rPr>
        <w:fldChar w:fldCharType="begin"/>
      </w:r>
      <w:r w:rsidRPr="00E05BFE">
        <w:rPr>
          <w:rFonts w:eastAsia="Times New Roman"/>
          <w:snapToGrid w:val="0"/>
          <w:szCs w:val="24"/>
          <w:lang w:val="en-GB" w:eastAsia="en-US"/>
        </w:rPr>
        <w:instrText xml:space="preserve"> ADDIN EN.CITE &lt;EndNote&gt;&lt;Cite&gt;&lt;Author&gt;Fajfar&lt;/Author&gt;&lt;Year&gt;1999&lt;/Year&gt;&lt;RecNum&gt;109&lt;/RecNum&gt;&lt;DisplayText&gt;(Fajfar 1999)&lt;/DisplayText&gt;&lt;record&gt;&lt;rec-number&gt;109&lt;/rec-number&gt;&lt;foreign-keys&gt;&lt;key app="EN" db-id="r2vvdt95az9wv4epvf6xd2dkptr2ddwpz0ps" timestamp="1548227194"&gt;109&lt;/key&gt;&lt;/foreign-keys&gt;&lt;ref-type name="Journal Article"&gt;17&lt;/ref-type&gt;&lt;contributors&gt;&lt;authors&gt;&lt;author&gt;Fajfar, Peter&lt;/author&gt;&lt;/authors&gt;&lt;/contributors&gt;&lt;titles&gt;&lt;title&gt;Capacity spectrum method based on inelastic demand spectra&lt;/title&gt;&lt;secondary-title&gt;Earthquake Engineering &amp;amp; Structural Dynamics&lt;/secondary-title&gt;&lt;/titles&gt;&lt;periodical&gt;&lt;full-title&gt;Earthquake engineering &amp;amp; structural dynamics&lt;/full-title&gt;&lt;/periodical&gt;&lt;pages&gt;979-993&lt;/pages&gt;&lt;volume&gt;28&lt;/volume&gt;&lt;number&gt;9&lt;/number&gt;&lt;dates&gt;&lt;year&gt;1999&lt;/year&gt;&lt;/dates&gt;&lt;isbn&gt;0098-8847&lt;/isbn&gt;&lt;urls&gt;&lt;/urls&gt;&lt;/record&gt;&lt;/Cite&gt;&lt;/EndNote&gt;</w:instrText>
      </w:r>
      <w:r w:rsidRPr="00E05BFE">
        <w:rPr>
          <w:rFonts w:eastAsia="Times New Roman"/>
          <w:snapToGrid w:val="0"/>
          <w:szCs w:val="24"/>
          <w:lang w:val="en-GB" w:eastAsia="en-US"/>
        </w:rPr>
        <w:fldChar w:fldCharType="separate"/>
      </w:r>
      <w:r w:rsidRPr="00E05BFE">
        <w:rPr>
          <w:rFonts w:eastAsia="Times New Roman"/>
          <w:noProof/>
          <w:snapToGrid w:val="0"/>
          <w:szCs w:val="24"/>
          <w:lang w:val="en-GB" w:eastAsia="en-US"/>
        </w:rPr>
        <w:t>(</w:t>
      </w:r>
      <w:hyperlink w:anchor="_ENREF_9" w:tooltip="Fajfar, 1999 #109" w:history="1">
        <w:r w:rsidRPr="00E05BFE">
          <w:rPr>
            <w:rFonts w:eastAsia="Times New Roman"/>
            <w:noProof/>
            <w:snapToGrid w:val="0"/>
            <w:szCs w:val="24"/>
            <w:lang w:val="en-GB" w:eastAsia="en-US"/>
          </w:rPr>
          <w:t>Fajfar 1999</w:t>
        </w:r>
      </w:hyperlink>
      <w:r w:rsidRPr="00E05BFE">
        <w:rPr>
          <w:rFonts w:eastAsia="Times New Roman"/>
          <w:noProof/>
          <w:snapToGrid w:val="0"/>
          <w:szCs w:val="24"/>
          <w:lang w:val="en-GB" w:eastAsia="en-US"/>
        </w:rPr>
        <w:t>)</w:t>
      </w:r>
      <w:r w:rsidRPr="00E05BFE">
        <w:rPr>
          <w:rFonts w:eastAsia="Times New Roman"/>
          <w:snapToGrid w:val="0"/>
          <w:szCs w:val="24"/>
          <w:lang w:val="en-GB" w:eastAsia="en-US"/>
        </w:rPr>
        <w:fldChar w:fldCharType="end"/>
      </w:r>
      <w:r w:rsidRPr="00E05BFE">
        <w:rPr>
          <w:rFonts w:eastAsia="Times New Roman"/>
          <w:snapToGrid w:val="0"/>
          <w:szCs w:val="24"/>
          <w:lang w:val="en-GB" w:eastAsia="en-US"/>
        </w:rPr>
        <w:t>, which utilized the demand response spectrum of earthquakes to predict the inelastic capacity of structures, became popular</w:t>
      </w:r>
      <w:r w:rsidRPr="00E05BFE">
        <w:rPr>
          <w:rFonts w:eastAsia="Times New Roman"/>
          <w:noProof/>
          <w:snapToGrid w:val="0"/>
          <w:szCs w:val="24"/>
          <w:lang w:val="en-GB" w:eastAsia="en-US"/>
        </w:rPr>
        <w:t>. This</w:t>
      </w:r>
      <w:r w:rsidRPr="00E05BFE">
        <w:rPr>
          <w:rFonts w:eastAsia="Times New Roman"/>
          <w:snapToGrid w:val="0"/>
          <w:szCs w:val="24"/>
          <w:lang w:val="en-GB" w:eastAsia="en-US"/>
        </w:rPr>
        <w:t xml:space="preserve"> led towards the </w:t>
      </w:r>
      <w:r w:rsidRPr="00E05BFE">
        <w:rPr>
          <w:rFonts w:eastAsia="Times New Roman"/>
          <w:noProof/>
          <w:snapToGrid w:val="0"/>
          <w:szCs w:val="24"/>
          <w:lang w:val="en-GB" w:eastAsia="en-US"/>
        </w:rPr>
        <w:t>performance-based</w:t>
      </w:r>
      <w:r w:rsidRPr="00E05BFE">
        <w:rPr>
          <w:rFonts w:eastAsia="Times New Roman"/>
          <w:snapToGrid w:val="0"/>
          <w:szCs w:val="24"/>
          <w:lang w:val="en-GB" w:eastAsia="en-US"/>
        </w:rPr>
        <w:t xml:space="preserve"> seismic design (PBSD) and analysis of structures. These NSP procedures focussed on the displacement based design approach</w:t>
      </w:r>
      <w:r w:rsidRPr="00E05BFE">
        <w:rPr>
          <w:rFonts w:eastAsia="Times New Roman"/>
          <w:noProof/>
          <w:snapToGrid w:val="0"/>
          <w:szCs w:val="24"/>
          <w:lang w:val="en-GB" w:eastAsia="en-US"/>
        </w:rPr>
        <w:t xml:space="preserve">. </w:t>
      </w:r>
      <w:hyperlink w:anchor="_ENREF_15" w:tooltip="Kunnath, 2004 #6" w:history="1">
        <w:r w:rsidRPr="00E05BFE">
          <w:rPr>
            <w:rFonts w:eastAsia="Times New Roman"/>
            <w:snapToGrid w:val="0"/>
            <w:szCs w:val="24"/>
            <w:lang w:val="en-GB" w:eastAsia="en-US"/>
          </w:rPr>
          <w:fldChar w:fldCharType="begin"/>
        </w:r>
        <w:r w:rsidRPr="00E05BFE">
          <w:rPr>
            <w:rFonts w:eastAsia="Times New Roman"/>
            <w:snapToGrid w:val="0"/>
            <w:szCs w:val="24"/>
            <w:lang w:val="en-GB" w:eastAsia="en-US"/>
          </w:rPr>
          <w:instrText xml:space="preserve"> ADDIN EN.CITE &lt;EndNote&gt;&lt;Cite AuthorYear="1"&gt;&lt;Author&gt;Kunnath&lt;/Author&gt;&lt;Year&gt;2004&lt;/Year&gt;&lt;RecNum&gt;6&lt;/RecNum&gt;&lt;DisplayText&gt;Kunnath et al. (2004)&lt;/DisplayText&gt;&lt;record&gt;&lt;rec-number&gt;6&lt;/rec-number&gt;&lt;foreign-keys&gt;&lt;key app="EN" db-id="r2vvdt95az9wv4epvf6xd2dkptr2ddwpz0ps" timestamp="1530032342"&gt;6&lt;/key&gt;&lt;/foreign-keys&gt;&lt;ref-type name="Journal Article"&gt;17&lt;/ref-type&gt;&lt;contributors&gt;&lt;authors&gt;&lt;author&gt;Kunnath, Sashi K&lt;/author&gt;&lt;author&gt;Kalkan, Erol&lt;/author&gt;&lt;/authors&gt;&lt;/contributors&gt;&lt;titles&gt;&lt;title&gt;Evaluation of seismic deformation demands using nonlinear procedures in multistory steel and concrete moment frames&lt;/title&gt;&lt;secondary-title&gt;ISET Journal of Earthquake Technology&lt;/secondary-title&gt;&lt;/titles&gt;&lt;periodical&gt;&lt;full-title&gt;ISET Journal of Earthquake Technology&lt;/full-title&gt;&lt;/periodical&gt;&lt;pages&gt;159-181&lt;/pages&gt;&lt;volume&gt;41&lt;/volume&gt;&lt;number&gt;1&lt;/number&gt;&lt;dates&gt;&lt;year&gt;2004&lt;/year&gt;&lt;/dates&gt;&lt;urls&gt;&lt;/urls&gt;&lt;/record&gt;&lt;/Cite&gt;&lt;/EndNote&gt;</w:instrText>
        </w:r>
        <w:r w:rsidRPr="00E05BFE">
          <w:rPr>
            <w:rFonts w:eastAsia="Times New Roman"/>
            <w:snapToGrid w:val="0"/>
            <w:szCs w:val="24"/>
            <w:lang w:val="en-GB" w:eastAsia="en-US"/>
          </w:rPr>
          <w:fldChar w:fldCharType="separate"/>
        </w:r>
        <w:r w:rsidRPr="00E05BFE">
          <w:rPr>
            <w:rFonts w:eastAsia="Times New Roman"/>
            <w:noProof/>
            <w:snapToGrid w:val="0"/>
            <w:szCs w:val="24"/>
            <w:lang w:val="en-GB" w:eastAsia="en-US"/>
          </w:rPr>
          <w:t>Kunnath et al. (2004)</w:t>
        </w:r>
        <w:r w:rsidRPr="00E05BFE">
          <w:rPr>
            <w:rFonts w:eastAsia="Times New Roman"/>
            <w:snapToGrid w:val="0"/>
            <w:szCs w:val="24"/>
            <w:lang w:val="en-GB" w:eastAsia="en-US"/>
          </w:rPr>
          <w:fldChar w:fldCharType="end"/>
        </w:r>
      </w:hyperlink>
      <w:r w:rsidRPr="00E05BFE">
        <w:rPr>
          <w:rFonts w:eastAsia="Times New Roman"/>
          <w:snapToGrid w:val="0"/>
          <w:szCs w:val="24"/>
          <w:lang w:val="en-GB" w:eastAsia="en-US"/>
        </w:rPr>
        <w:t xml:space="preserve"> and </w:t>
      </w:r>
      <w:hyperlink w:anchor="_ENREF_14" w:tooltip="Kalkan, 2007 #8" w:history="1">
        <w:r w:rsidRPr="00E05BFE">
          <w:rPr>
            <w:rFonts w:eastAsia="Times New Roman"/>
            <w:snapToGrid w:val="0"/>
            <w:szCs w:val="24"/>
            <w:lang w:val="en-GB" w:eastAsia="en-US"/>
          </w:rPr>
          <w:fldChar w:fldCharType="begin"/>
        </w:r>
        <w:r w:rsidRPr="00E05BFE">
          <w:rPr>
            <w:rFonts w:eastAsia="Times New Roman"/>
            <w:snapToGrid w:val="0"/>
            <w:szCs w:val="24"/>
            <w:lang w:val="en-GB" w:eastAsia="en-US"/>
          </w:rPr>
          <w:instrText xml:space="preserve"> ADDIN EN.CITE &lt;EndNote&gt;&lt;Cite AuthorYear="1"&gt;&lt;Author&gt;Kalkan&lt;/Author&gt;&lt;Year&gt;2007&lt;/Year&gt;&lt;RecNum&gt;8&lt;/RecNum&gt;&lt;DisplayText&gt;Kalkan et al. (2007)&lt;/DisplayText&gt;&lt;record&gt;&lt;rec-number&gt;8&lt;/rec-number&gt;&lt;foreign-keys&gt;&lt;key app="EN" db-id="r2vvdt95az9wv4epvf6xd2dkptr2ddwpz0ps" timestamp="1530032606"&gt;8&lt;/key&gt;&lt;/foreign-keys&gt;&lt;ref-type name="Journal Article"&gt;17&lt;/ref-type&gt;&lt;contributors&gt;&lt;authors&gt;&lt;author&gt;Kalkan, Erol&lt;/author&gt;&lt;author&gt;Kunnath, Sashi K&lt;/author&gt;&lt;/authors&gt;&lt;/contributors&gt;&lt;titles&gt;&lt;title&gt;Assessment of current nonlinear static procedures for seismic evaluation of buildings&lt;/title&gt;&lt;secondary-title&gt;Engineering Structures&lt;/secondary-title&gt;&lt;/titles&gt;&lt;periodical&gt;&lt;full-title&gt;Engineering structures&lt;/full-title&gt;&lt;/periodical&gt;&lt;pages&gt;305-316&lt;/pages&gt;&lt;volume&gt;29&lt;/volume&gt;&lt;number&gt;3&lt;/number&gt;&lt;dates&gt;&lt;year&gt;2007&lt;/year&gt;&lt;/dates&gt;&lt;isbn&gt;0141-0296&lt;/isbn&gt;&lt;urls&gt;&lt;/urls&gt;&lt;/record&gt;&lt;/Cite&gt;&lt;/EndNote&gt;</w:instrText>
        </w:r>
        <w:r w:rsidRPr="00E05BFE">
          <w:rPr>
            <w:rFonts w:eastAsia="Times New Roman"/>
            <w:snapToGrid w:val="0"/>
            <w:szCs w:val="24"/>
            <w:lang w:val="en-GB" w:eastAsia="en-US"/>
          </w:rPr>
          <w:fldChar w:fldCharType="separate"/>
        </w:r>
        <w:r w:rsidRPr="00E05BFE">
          <w:rPr>
            <w:rFonts w:eastAsia="Times New Roman"/>
            <w:noProof/>
            <w:snapToGrid w:val="0"/>
            <w:szCs w:val="24"/>
            <w:lang w:val="en-GB" w:eastAsia="en-US"/>
          </w:rPr>
          <w:t>Kalkan et al. (2007)</w:t>
        </w:r>
        <w:r w:rsidRPr="00E05BFE">
          <w:rPr>
            <w:rFonts w:eastAsia="Times New Roman"/>
            <w:snapToGrid w:val="0"/>
            <w:szCs w:val="24"/>
            <w:lang w:val="en-GB" w:eastAsia="en-US"/>
          </w:rPr>
          <w:fldChar w:fldCharType="end"/>
        </w:r>
      </w:hyperlink>
      <w:r w:rsidRPr="00E05BFE">
        <w:rPr>
          <w:rFonts w:eastAsia="Times New Roman"/>
          <w:snapToGrid w:val="0"/>
          <w:szCs w:val="20"/>
          <w:lang w:val="en-US" w:eastAsia="en-US"/>
        </w:rPr>
        <w:t xml:space="preserve"> </w:t>
      </w:r>
      <w:r w:rsidRPr="00E05BFE">
        <w:rPr>
          <w:rFonts w:eastAsia="Times New Roman"/>
          <w:snapToGrid w:val="0"/>
          <w:szCs w:val="24"/>
          <w:lang w:val="en-GB" w:eastAsia="en-US"/>
        </w:rPr>
        <w:t xml:space="preserve">investigated the efficacy of NSP procedures with their limitations and compared with NTHA responses under near-field and far-field ground motions. The PBSD approach examined the performance of the structure </w:t>
      </w:r>
      <w:r w:rsidRPr="00E05BFE">
        <w:rPr>
          <w:rFonts w:eastAsia="Times New Roman"/>
          <w:noProof/>
          <w:snapToGrid w:val="0"/>
          <w:szCs w:val="24"/>
          <w:lang w:val="en-GB" w:eastAsia="en-US"/>
        </w:rPr>
        <w:t>in the form of</w:t>
      </w:r>
      <w:r w:rsidRPr="00E05BFE">
        <w:rPr>
          <w:rFonts w:eastAsia="Times New Roman"/>
          <w:snapToGrid w:val="0"/>
          <w:szCs w:val="24"/>
          <w:lang w:val="en-GB" w:eastAsia="en-US"/>
        </w:rPr>
        <w:t xml:space="preserve"> performance points (PPs) </w:t>
      </w:r>
      <w:r w:rsidRPr="00E05BFE">
        <w:rPr>
          <w:rFonts w:eastAsia="Times New Roman"/>
          <w:noProof/>
          <w:snapToGrid w:val="0"/>
          <w:szCs w:val="24"/>
          <w:lang w:val="en-GB" w:eastAsia="en-US"/>
        </w:rPr>
        <w:t>at the inelastic</w:t>
      </w:r>
      <w:r w:rsidRPr="00E05BFE">
        <w:rPr>
          <w:rFonts w:eastAsia="Times New Roman"/>
          <w:snapToGrid w:val="0"/>
          <w:szCs w:val="24"/>
          <w:lang w:val="en-GB" w:eastAsia="en-US"/>
        </w:rPr>
        <w:t xml:space="preserve"> state. Most of the p</w:t>
      </w:r>
      <w:r w:rsidRPr="00E05BFE">
        <w:rPr>
          <w:rFonts w:eastAsia="Times New Roman"/>
          <w:noProof/>
          <w:snapToGrid w:val="0"/>
          <w:szCs w:val="24"/>
          <w:lang w:val="en-GB" w:eastAsia="en-US"/>
        </w:rPr>
        <w:t>erformance-based studies</w:t>
      </w:r>
      <w:r w:rsidRPr="00E05BFE">
        <w:rPr>
          <w:rFonts w:eastAsia="Times New Roman"/>
          <w:snapToGrid w:val="0"/>
          <w:szCs w:val="24"/>
          <w:lang w:val="en-GB" w:eastAsia="en-US"/>
        </w:rPr>
        <w:t xml:space="preserve"> compared the seismic performances </w:t>
      </w:r>
      <w:r w:rsidRPr="00E05BFE">
        <w:rPr>
          <w:rFonts w:eastAsia="Times New Roman"/>
          <w:noProof/>
          <w:snapToGrid w:val="0"/>
          <w:szCs w:val="24"/>
          <w:lang w:val="en-GB" w:eastAsia="en-US"/>
        </w:rPr>
        <w:t xml:space="preserve">at the </w:t>
      </w:r>
      <w:r w:rsidRPr="00E05BFE">
        <w:rPr>
          <w:rFonts w:eastAsia="Times New Roman"/>
          <w:snapToGrid w:val="0"/>
          <w:szCs w:val="24"/>
          <w:lang w:val="en-GB" w:eastAsia="en-US"/>
        </w:rPr>
        <w:t>yield level or the collapse level under far-field earthquakes. Practically no studies were reported on the PBSD of the semi-rigid jointed frames and verified their performances under near and far field earthquakes.</w:t>
      </w: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This paper investigates the energy dissipation and performance of a mid-rise 5-story steel moment-resisting frame at three PGA levels corresponding to the performance points, obtained at the elastic, elastic-plastic and plastic states in fully rigid and SR </w:t>
      </w:r>
      <w:r w:rsidRPr="00E05BFE">
        <w:rPr>
          <w:rFonts w:eastAsia="Times New Roman"/>
          <w:noProof/>
          <w:snapToGrid w:val="0"/>
          <w:szCs w:val="24"/>
          <w:lang w:val="en-US" w:eastAsia="en-US"/>
        </w:rPr>
        <w:t>frames</w:t>
      </w:r>
      <w:r w:rsidRPr="00E05BFE">
        <w:rPr>
          <w:rFonts w:eastAsia="Times New Roman"/>
          <w:snapToGrid w:val="0"/>
          <w:szCs w:val="24"/>
          <w:lang w:val="en-US" w:eastAsia="en-US"/>
        </w:rPr>
        <w:t xml:space="preserve">. Further, the comparison between the responses obtained from </w:t>
      </w:r>
      <w:r w:rsidRPr="00E05BFE">
        <w:rPr>
          <w:rFonts w:eastAsia="Times New Roman"/>
          <w:noProof/>
          <w:snapToGrid w:val="0"/>
          <w:szCs w:val="24"/>
          <w:lang w:val="en-US" w:eastAsia="en-US"/>
        </w:rPr>
        <w:t xml:space="preserve">NTHA </w:t>
      </w:r>
      <w:r w:rsidRPr="00E05BFE">
        <w:rPr>
          <w:rFonts w:eastAsia="Times New Roman"/>
          <w:snapToGrid w:val="0"/>
          <w:szCs w:val="24"/>
          <w:lang w:val="en-US" w:eastAsia="en-US"/>
        </w:rPr>
        <w:t xml:space="preserve">and NSP (pushover analysis using capacity spectrum approach) results were carried out at different performance states </w:t>
      </w:r>
      <w:r w:rsidRPr="00E05BFE">
        <w:rPr>
          <w:rFonts w:eastAsia="Times New Roman"/>
          <w:noProof/>
          <w:snapToGrid w:val="0"/>
          <w:szCs w:val="24"/>
          <w:lang w:val="en-US" w:eastAsia="en-US"/>
        </w:rPr>
        <w:t>in order toexemplify</w:t>
      </w:r>
      <w:r w:rsidRPr="00E05BFE">
        <w:rPr>
          <w:rFonts w:eastAsia="Times New Roman"/>
          <w:snapToGrid w:val="0"/>
          <w:szCs w:val="24"/>
          <w:lang w:val="en-US" w:eastAsia="en-US"/>
        </w:rPr>
        <w:t xml:space="preserve"> the energy dissipation characteristics of the SR frames</w:t>
      </w:r>
      <w:r w:rsidRPr="00E05BFE">
        <w:rPr>
          <w:rFonts w:eastAsia="Times New Roman"/>
          <w:noProof/>
          <w:snapToGrid w:val="0"/>
          <w:szCs w:val="24"/>
          <w:lang w:val="en-US" w:eastAsia="en-US"/>
        </w:rPr>
        <w:t>. The</w:t>
      </w:r>
      <w:r w:rsidRPr="00E05BFE">
        <w:rPr>
          <w:rFonts w:eastAsia="Times New Roman"/>
          <w:snapToGrid w:val="0"/>
          <w:szCs w:val="24"/>
          <w:lang w:val="en-US" w:eastAsia="en-US"/>
        </w:rPr>
        <w:t xml:space="preserve"> demand response spectrums for three different varieties of earthquakes, typified by far-field, near-field with directivity and fling step effects were</w:t>
      </w:r>
      <w:r w:rsidRPr="00E05BFE">
        <w:rPr>
          <w:rFonts w:eastAsia="Times New Roman"/>
          <w:noProof/>
          <w:snapToGrid w:val="0"/>
          <w:szCs w:val="24"/>
          <w:lang w:val="en-US" w:eastAsia="en-US"/>
        </w:rPr>
        <w:t xml:space="preserve"> chosen for the </w:t>
      </w:r>
      <w:r w:rsidRPr="00E05BFE">
        <w:rPr>
          <w:rFonts w:eastAsia="Times New Roman"/>
          <w:snapToGrid w:val="0"/>
          <w:szCs w:val="24"/>
          <w:lang w:val="en-US" w:eastAsia="en-US"/>
        </w:rPr>
        <w:t xml:space="preserve">evaluation of performance points. The comparison is carried out for a </w:t>
      </w:r>
      <w:r w:rsidRPr="00E05BFE">
        <w:rPr>
          <w:rFonts w:eastAsia="Times New Roman"/>
          <w:noProof/>
          <w:snapToGrid w:val="0"/>
          <w:szCs w:val="24"/>
          <w:lang w:val="en-US" w:eastAsia="en-US"/>
        </w:rPr>
        <w:t>wide</w:t>
      </w:r>
      <w:r w:rsidRPr="00E05BFE">
        <w:rPr>
          <w:rFonts w:eastAsia="Times New Roman"/>
          <w:snapToGrid w:val="0"/>
          <w:szCs w:val="24"/>
          <w:lang w:val="en-US" w:eastAsia="en-US"/>
        </w:rPr>
        <w:t xml:space="preserve"> range of response parameters, namely, the top-roof displacement, the maximum story drift, the maximum base shear, </w:t>
      </w:r>
      <w:r w:rsidRPr="00E05BFE">
        <w:rPr>
          <w:rFonts w:eastAsia="Times New Roman"/>
          <w:noProof/>
          <w:snapToGrid w:val="0"/>
          <w:szCs w:val="24"/>
          <w:lang w:val="en-US" w:eastAsia="en-US"/>
        </w:rPr>
        <w:t>total</w:t>
      </w:r>
      <w:r w:rsidRPr="00E05BFE">
        <w:rPr>
          <w:rFonts w:eastAsia="Times New Roman"/>
          <w:snapToGrid w:val="0"/>
          <w:szCs w:val="24"/>
          <w:lang w:val="en-US" w:eastAsia="en-US"/>
        </w:rPr>
        <w:t xml:space="preserve"> number of plastic hinges, the SRSS of maximum hinge rotations and the energy dissipation in plastic </w:t>
      </w:r>
      <w:r w:rsidRPr="00E05BFE">
        <w:rPr>
          <w:rFonts w:eastAsia="Times New Roman"/>
          <w:noProof/>
          <w:snapToGrid w:val="0"/>
          <w:szCs w:val="24"/>
          <w:lang w:val="en-US" w:eastAsia="en-US"/>
        </w:rPr>
        <w:t>hinges.The</w:t>
      </w:r>
      <w:r w:rsidRPr="00E05BFE">
        <w:rPr>
          <w:rFonts w:eastAsia="Times New Roman"/>
          <w:snapToGrid w:val="0"/>
          <w:szCs w:val="24"/>
          <w:lang w:val="en-US" w:eastAsia="en-US"/>
        </w:rPr>
        <w:t xml:space="preserve"> standard nonlinear SAP2000 software </w:t>
      </w:r>
      <w:r w:rsidRPr="00E05BFE">
        <w:rPr>
          <w:rFonts w:eastAsia="Times New Roman"/>
          <w:noProof/>
          <w:snapToGrid w:val="0"/>
          <w:szCs w:val="24"/>
          <w:lang w:val="en-US" w:eastAsia="en-US"/>
        </w:rPr>
        <w:t>is used</w:t>
      </w:r>
      <w:r w:rsidRPr="00E05BFE">
        <w:rPr>
          <w:rFonts w:eastAsia="Times New Roman"/>
          <w:snapToGrid w:val="0"/>
          <w:szCs w:val="24"/>
          <w:lang w:val="en-US" w:eastAsia="en-US"/>
        </w:rPr>
        <w:t xml:space="preserve"> for NTHA and POA </w:t>
      </w:r>
      <w:r w:rsidRPr="00E05BFE">
        <w:rPr>
          <w:rFonts w:eastAsia="Times New Roman"/>
          <w:snapToGrid w:val="0"/>
          <w:szCs w:val="24"/>
          <w:lang w:val="en-US" w:eastAsia="en-US"/>
        </w:rPr>
        <w:fldChar w:fldCharType="begin"/>
      </w:r>
      <w:r w:rsidRPr="00E05BFE">
        <w:rPr>
          <w:rFonts w:eastAsia="Times New Roman"/>
          <w:snapToGrid w:val="0"/>
          <w:szCs w:val="24"/>
          <w:lang w:val="en-US" w:eastAsia="en-US"/>
        </w:rPr>
        <w:instrText xml:space="preserve"> ADDIN EN.CITE &lt;EndNote&gt;&lt;Cite&gt;&lt;Year&gt;2017&lt;/Year&gt;&lt;RecNum&gt;69&lt;/RecNum&gt;&lt;DisplayText&gt;(SAP2000 2017)&lt;/DisplayText&gt;&lt;record&gt;&lt;rec-number&gt;69&lt;/rec-number&gt;&lt;foreign-keys&gt;&lt;key app="EN" db-id="r2vvdt95az9wv4epvf6xd2dkptr2ddwpz0ps" timestamp="1537966262"&gt;69&lt;/key&gt;&lt;/foreign-keys&gt;&lt;ref-type name="Generic"&gt;13&lt;/ref-type&gt;&lt;contributors&gt;&lt;authors&gt;&lt;author&gt;SAP2000&lt;/author&gt;&lt;/authors&gt;&lt;/contributors&gt;&lt;titles&gt;&lt;title&gt;SAP 2000 v19 (2017): Integrated software for structural analysis and design&lt;/title&gt;&lt;/titles&gt;&lt;dates&gt;&lt;year&gt;2017&lt;/year&gt;&lt;/dates&gt;&lt;pub-location&gt;Berkeley, California&lt;/pub-location&gt;&lt;publisher&gt;Computers and Structures, Inc&lt;/publisher&gt;&lt;urls&gt;&lt;/urls&gt;&lt;/record&gt;&lt;/Cite&gt;&lt;/EndNote&gt;</w:instrText>
      </w:r>
      <w:r w:rsidRPr="00E05BFE">
        <w:rPr>
          <w:rFonts w:eastAsia="Times New Roman"/>
          <w:snapToGrid w:val="0"/>
          <w:szCs w:val="24"/>
          <w:lang w:val="en-US" w:eastAsia="en-US"/>
        </w:rPr>
        <w:fldChar w:fldCharType="separate"/>
      </w:r>
      <w:r w:rsidRPr="00E05BFE">
        <w:rPr>
          <w:rFonts w:eastAsia="Times New Roman"/>
          <w:noProof/>
          <w:snapToGrid w:val="0"/>
          <w:szCs w:val="24"/>
          <w:lang w:val="en-US" w:eastAsia="en-US"/>
        </w:rPr>
        <w:t>(</w:t>
      </w:r>
      <w:hyperlink w:anchor="_ENREF_17" w:tooltip="SAP2000, 2017 #69" w:history="1">
        <w:r w:rsidRPr="00E05BFE">
          <w:rPr>
            <w:rFonts w:eastAsia="Times New Roman"/>
            <w:noProof/>
            <w:snapToGrid w:val="0"/>
            <w:szCs w:val="24"/>
            <w:lang w:val="en-US" w:eastAsia="en-US"/>
          </w:rPr>
          <w:t>SAP2000 2017</w:t>
        </w:r>
      </w:hyperlink>
      <w:r w:rsidRPr="00E05BFE">
        <w:rPr>
          <w:rFonts w:eastAsia="Times New Roman"/>
          <w:noProof/>
          <w:snapToGrid w:val="0"/>
          <w:szCs w:val="24"/>
          <w:lang w:val="en-US" w:eastAsia="en-US"/>
        </w:rPr>
        <w:t>)</w:t>
      </w:r>
      <w:r w:rsidRPr="00E05BFE">
        <w:rPr>
          <w:rFonts w:eastAsia="Times New Roman"/>
          <w:snapToGrid w:val="0"/>
          <w:szCs w:val="24"/>
          <w:lang w:val="en-US" w:eastAsia="en-US"/>
        </w:rPr>
        <w:fldChar w:fldCharType="end"/>
      </w:r>
      <w:r w:rsidRPr="00E05BFE">
        <w:rPr>
          <w:rFonts w:eastAsia="Times New Roman"/>
          <w:snapToGrid w:val="0"/>
          <w:szCs w:val="24"/>
          <w:lang w:val="en-US" w:eastAsia="en-US"/>
        </w:rPr>
        <w:t>.</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keepNext/>
        <w:widowControl w:val="0"/>
        <w:suppressAutoHyphens/>
        <w:spacing w:after="0" w:line="240" w:lineRule="auto"/>
        <w:ind w:left="270" w:hanging="270"/>
        <w:jc w:val="both"/>
        <w:outlineLvl w:val="0"/>
        <w:rPr>
          <w:rFonts w:eastAsia="Times New Roman"/>
          <w:b/>
          <w:caps/>
          <w:snapToGrid w:val="0"/>
          <w:szCs w:val="24"/>
          <w:lang w:val="en-US" w:eastAsia="en-US"/>
        </w:rPr>
      </w:pPr>
      <w:r w:rsidRPr="00E05BFE">
        <w:rPr>
          <w:rFonts w:eastAsia="Times New Roman"/>
          <w:b/>
          <w:caps/>
          <w:snapToGrid w:val="0"/>
          <w:szCs w:val="24"/>
          <w:lang w:val="en-US" w:eastAsia="en-US"/>
        </w:rPr>
        <w:t>2. THEORY</w:t>
      </w:r>
    </w:p>
    <w:p w:rsidR="00E05BFE" w:rsidRPr="00E05BFE" w:rsidRDefault="00E05BFE" w:rsidP="00E05BFE">
      <w:pPr>
        <w:widowControl w:val="0"/>
        <w:spacing w:after="0" w:line="240" w:lineRule="auto"/>
        <w:jc w:val="both"/>
        <w:rPr>
          <w:rFonts w:eastAsia="Times New Roman"/>
          <w:snapToGrid w:val="0"/>
          <w:sz w:val="20"/>
          <w:szCs w:val="20"/>
          <w:lang w:val="en-US" w:eastAsia="en-US"/>
        </w:rPr>
      </w:pPr>
    </w:p>
    <w:p w:rsidR="00E05BFE" w:rsidRPr="00E05BFE" w:rsidRDefault="00E05BFE" w:rsidP="00E05BFE">
      <w:pPr>
        <w:widowControl w:val="0"/>
        <w:spacing w:after="0" w:line="240" w:lineRule="auto"/>
        <w:jc w:val="both"/>
        <w:rPr>
          <w:rFonts w:eastAsia="Times New Roman"/>
          <w:noProof/>
          <w:snapToGrid w:val="0"/>
          <w:szCs w:val="24"/>
          <w:lang w:val="en-US" w:eastAsia="en-US"/>
        </w:rPr>
      </w:pPr>
      <w:r w:rsidRPr="00E05BFE">
        <w:rPr>
          <w:rFonts w:eastAsia="Times New Roman"/>
          <w:noProof/>
          <w:snapToGrid w:val="0"/>
          <w:szCs w:val="24"/>
          <w:lang w:val="en-US" w:eastAsia="en-US"/>
        </w:rPr>
        <w:t>In order to assess the behavior of the rigid and the SR frames at three PGA levels corresponding to three performance points, three different types of earthquakes, namely, far-field (FF), near field field with the directivity effect (NFD), and near-field with the fling step effect (NFF) are considered. The design demand response spectrum is obtained through 10-point percentile filter smoothening of response spectrums of the earthquakes. The three different design demand response spectrums from FF, NFD,and NFF ground motions are superimposed on the capacity curve of the structures to obtain the performance points. The following section explains the implementation of different portions of the analysis in SAP2000.</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b/>
          <w:i/>
          <w:iCs/>
          <w:snapToGrid w:val="0"/>
          <w:vanish/>
          <w:szCs w:val="24"/>
          <w:lang w:val="en-US" w:eastAsia="en-US"/>
        </w:rPr>
      </w:pPr>
      <w:r w:rsidRPr="00E05BFE">
        <w:rPr>
          <w:rFonts w:eastAsia="Times New Roman"/>
          <w:b/>
          <w:i/>
          <w:iCs/>
          <w:snapToGrid w:val="0"/>
          <w:szCs w:val="24"/>
          <w:lang w:val="en-US" w:eastAsia="en-US"/>
        </w:rPr>
        <w:t>2.1 Implementation of the Semi-rigid Connection in SAP2000</w:t>
      </w:r>
    </w:p>
    <w:p w:rsidR="00E05BFE" w:rsidRPr="00E05BFE" w:rsidRDefault="00E05BFE" w:rsidP="00E05BFE">
      <w:pPr>
        <w:widowControl w:val="0"/>
        <w:spacing w:after="0" w:line="240" w:lineRule="auto"/>
        <w:jc w:val="both"/>
        <w:rPr>
          <w:rFonts w:eastAsia="Times New Roman"/>
          <w:bCs/>
          <w:snapToGrid w:val="0"/>
          <w:szCs w:val="24"/>
          <w:lang w:val="en-US" w:eastAsia="en-US"/>
        </w:rPr>
      </w:pPr>
    </w:p>
    <w:p w:rsidR="00E05BFE" w:rsidRPr="00E05BFE" w:rsidRDefault="00E05BFE" w:rsidP="00E05BFE">
      <w:pPr>
        <w:widowControl w:val="0"/>
        <w:spacing w:after="0" w:line="240" w:lineRule="auto"/>
        <w:jc w:val="both"/>
        <w:rPr>
          <w:rFonts w:eastAsia="Times New Roman"/>
          <w:noProof/>
          <w:snapToGrid w:val="0"/>
          <w:szCs w:val="24"/>
          <w:lang w:val="en-US" w:eastAsia="en-US"/>
        </w:rPr>
      </w:pPr>
      <w:r w:rsidRPr="00E05BFE">
        <w:rPr>
          <w:rFonts w:eastAsia="Times New Roman"/>
          <w:noProof/>
          <w:snapToGrid w:val="0"/>
          <w:szCs w:val="24"/>
          <w:lang w:val="en-US" w:eastAsia="en-US"/>
        </w:rPr>
        <w:t>Semi-rigidity in beam-column connections is categorized by three parameters, namely, stiffness, strength,and ductility of adjoining members. The SR connections defined in SAP2000 are based on AISC 341-16 standards for a special moment resisting (SMR) frames under seismic excitations. The ratio of the yield moment (M</w:t>
      </w:r>
      <w:r w:rsidRPr="00E05BFE">
        <w:rPr>
          <w:rFonts w:eastAsia="Times New Roman"/>
          <w:noProof/>
          <w:snapToGrid w:val="0"/>
          <w:szCs w:val="24"/>
          <w:vertAlign w:val="subscript"/>
          <w:lang w:val="en-US" w:eastAsia="en-US"/>
        </w:rPr>
        <w:t>yc</w:t>
      </w:r>
      <w:r w:rsidRPr="00E05BFE">
        <w:rPr>
          <w:rFonts w:eastAsia="Times New Roman"/>
          <w:noProof/>
          <w:snapToGrid w:val="0"/>
          <w:szCs w:val="24"/>
          <w:lang w:val="en-US" w:eastAsia="en-US"/>
        </w:rPr>
        <w:t>) capacity to plastic moment capacity of connections (M</w:t>
      </w:r>
      <w:r w:rsidRPr="00E05BFE">
        <w:rPr>
          <w:rFonts w:eastAsia="Times New Roman"/>
          <w:noProof/>
          <w:snapToGrid w:val="0"/>
          <w:szCs w:val="24"/>
          <w:vertAlign w:val="subscript"/>
          <w:lang w:val="en-US" w:eastAsia="en-US"/>
        </w:rPr>
        <w:t>pc</w:t>
      </w:r>
      <w:r w:rsidRPr="00E05BFE">
        <w:rPr>
          <w:rFonts w:eastAsia="Times New Roman"/>
          <w:noProof/>
          <w:snapToGrid w:val="0"/>
          <w:szCs w:val="24"/>
          <w:lang w:val="en-US" w:eastAsia="en-US"/>
        </w:rPr>
        <w:t>) in the generic model is chosen as 2/3. The flexural strength or ultimate moment capacity of connections at the column ends should be minimum 80% of the connecting beam plastic moment capacity (M</w:t>
      </w:r>
      <w:r w:rsidRPr="00E05BFE">
        <w:rPr>
          <w:rFonts w:eastAsia="Times New Roman"/>
          <w:noProof/>
          <w:snapToGrid w:val="0"/>
          <w:szCs w:val="24"/>
          <w:vertAlign w:val="subscript"/>
          <w:lang w:val="en-US" w:eastAsia="en-US"/>
        </w:rPr>
        <w:t>pb</w:t>
      </w:r>
      <w:r w:rsidRPr="00E05BFE">
        <w:rPr>
          <w:rFonts w:eastAsia="Times New Roman"/>
          <w:noProof/>
          <w:snapToGrid w:val="0"/>
          <w:szCs w:val="24"/>
          <w:lang w:val="en-US" w:eastAsia="en-US"/>
        </w:rPr>
        <w:t xml:space="preserve">) to satisfy the story drift limit </w:t>
      </w:r>
      <w:r w:rsidRPr="00E05BFE">
        <w:rPr>
          <w:rFonts w:eastAsia="Times New Roman"/>
          <w:noProof/>
          <w:snapToGrid w:val="0"/>
          <w:szCs w:val="24"/>
          <w:lang w:val="en-US" w:eastAsia="en-US"/>
        </w:rPr>
        <w:lastRenderedPageBreak/>
        <w:t>(minimum 0.04 rad) of connection as per AISC 341-16. The degree of semi-rigidity in connections are explained by two dimensionless parameters (α  and β) and the connection ductility. For SR connections, the ductility of connections should not be less than θ</w:t>
      </w:r>
      <w:r w:rsidRPr="00E05BFE">
        <w:rPr>
          <w:rFonts w:eastAsia="Times New Roman"/>
          <w:noProof/>
          <w:snapToGrid w:val="0"/>
          <w:szCs w:val="24"/>
          <w:vertAlign w:val="subscript"/>
          <w:lang w:val="en-US" w:eastAsia="en-US"/>
        </w:rPr>
        <w:t>u</w:t>
      </w:r>
      <w:r w:rsidRPr="00E05BFE">
        <w:rPr>
          <w:rFonts w:eastAsia="Times New Roman"/>
          <w:noProof/>
          <w:snapToGrid w:val="0"/>
          <w:szCs w:val="24"/>
          <w:lang w:val="en-US" w:eastAsia="en-US"/>
        </w:rPr>
        <w:t xml:space="preserve"> ≥ 0.04rad </w:t>
      </w:r>
      <w:r w:rsidRPr="00E05BFE">
        <w:rPr>
          <w:rFonts w:eastAsia="Times New Roman"/>
          <w:noProof/>
          <w:snapToGrid w:val="0"/>
          <w:szCs w:val="24"/>
          <w:lang w:val="en-US" w:eastAsia="en-US"/>
        </w:rPr>
        <w:fldChar w:fldCharType="begin"/>
      </w:r>
      <w:r w:rsidRPr="00E05BFE">
        <w:rPr>
          <w:rFonts w:eastAsia="Times New Roman"/>
          <w:noProof/>
          <w:snapToGrid w:val="0"/>
          <w:szCs w:val="24"/>
          <w:lang w:val="en-US" w:eastAsia="en-US"/>
        </w:rPr>
        <w:instrText xml:space="preserve"> ADDIN EN.CITE &lt;EndNote&gt;&lt;Cite&gt;&lt;Author&gt;Chan&lt;/Author&gt;&lt;Year&gt;2000&lt;/Year&gt;&lt;RecNum&gt;14&lt;/RecNum&gt;&lt;DisplayText&gt;(Chan et al. 2000)&lt;/DisplayText&gt;&lt;record&gt;&lt;rec-number&gt;14&lt;/rec-number&gt;&lt;foreign-keys&gt;&lt;key app="EN" db-id="r2vvdt95az9wv4epvf6xd2dkptr2ddwpz0ps" timestamp="1530696233"&gt;14&lt;/key&gt;&lt;/foreign-keys&gt;&lt;ref-type name="Book"&gt;6&lt;/ref-type&gt;&lt;contributors&gt;&lt;authors&gt;&lt;author&gt;Chan, Siu-Lai&lt;/author&gt;&lt;author&gt;Chui, Pui-Tak&lt;/author&gt;&lt;/authors&gt;&lt;/contributors&gt;&lt;titles&gt;&lt;title&gt;Non-linear static and cyclic analysis of steel frames with semi-rigid connections&lt;/title&gt;&lt;/titles&gt;&lt;dates&gt;&lt;year&gt;2000&lt;/year&gt;&lt;/dates&gt;&lt;publisher&gt;Elsevier&lt;/publisher&gt;&lt;isbn&gt;0080537715&lt;/isbn&gt;&lt;urls&gt;&lt;/urls&gt;&lt;/record&gt;&lt;/Cite&gt;&lt;/EndNote&gt;</w:instrText>
      </w:r>
      <w:r w:rsidRPr="00E05BFE">
        <w:rPr>
          <w:rFonts w:eastAsia="Times New Roman"/>
          <w:noProof/>
          <w:snapToGrid w:val="0"/>
          <w:szCs w:val="24"/>
          <w:lang w:val="en-US" w:eastAsia="en-US"/>
        </w:rPr>
        <w:fldChar w:fldCharType="separate"/>
      </w:r>
      <w:r w:rsidRPr="00E05BFE">
        <w:rPr>
          <w:rFonts w:eastAsia="Times New Roman"/>
          <w:noProof/>
          <w:snapToGrid w:val="0"/>
          <w:szCs w:val="24"/>
          <w:lang w:val="en-US" w:eastAsia="en-US"/>
        </w:rPr>
        <w:t>(</w:t>
      </w:r>
      <w:hyperlink w:anchor="_ENREF_5" w:tooltip="Chan, 2000 #14" w:history="1">
        <w:r w:rsidRPr="00E05BFE">
          <w:rPr>
            <w:rFonts w:eastAsia="Times New Roman"/>
            <w:noProof/>
            <w:snapToGrid w:val="0"/>
            <w:szCs w:val="24"/>
            <w:lang w:val="en-US" w:eastAsia="en-US"/>
          </w:rPr>
          <w:t>Chan et al. 2000</w:t>
        </w:r>
      </w:hyperlink>
      <w:r w:rsidRPr="00E05BFE">
        <w:rPr>
          <w:rFonts w:eastAsia="Times New Roman"/>
          <w:noProof/>
          <w:snapToGrid w:val="0"/>
          <w:szCs w:val="24"/>
          <w:lang w:val="en-US" w:eastAsia="en-US"/>
        </w:rPr>
        <w:t>)</w:t>
      </w:r>
      <w:r w:rsidRPr="00E05BFE">
        <w:rPr>
          <w:rFonts w:eastAsia="Times New Roman"/>
          <w:noProof/>
          <w:snapToGrid w:val="0"/>
          <w:szCs w:val="24"/>
          <w:lang w:val="en-US" w:eastAsia="en-US"/>
        </w:rPr>
        <w:fldChar w:fldCharType="end"/>
      </w:r>
      <w:r w:rsidRPr="00E05BFE">
        <w:rPr>
          <w:rFonts w:eastAsia="Times New Roman"/>
          <w:noProof/>
          <w:snapToGrid w:val="0"/>
          <w:szCs w:val="24"/>
          <w:lang w:val="en-US" w:eastAsia="en-US"/>
        </w:rPr>
        <w:t>. The parameters are taken as follows:</w:t>
      </w:r>
    </w:p>
    <w:p w:rsidR="00E05BFE" w:rsidRPr="00E05BFE" w:rsidRDefault="00E05BFE" w:rsidP="00E05BFE">
      <w:pPr>
        <w:widowControl w:val="0"/>
        <w:spacing w:after="0" w:line="240" w:lineRule="auto"/>
        <w:jc w:val="both"/>
        <w:rPr>
          <w:rFonts w:eastAsia="Times New Roman"/>
          <w:noProof/>
          <w:snapToGrid w:val="0"/>
          <w:szCs w:val="24"/>
          <w:lang w:val="en-US" w:eastAsia="en-US"/>
        </w:rPr>
      </w:pPr>
    </w:p>
    <w:p w:rsidR="00E05BFE" w:rsidRPr="00E05BFE" w:rsidRDefault="00E05BFE" w:rsidP="00E05BFE">
      <w:pPr>
        <w:widowControl w:val="0"/>
        <w:spacing w:after="0" w:line="240" w:lineRule="auto"/>
        <w:jc w:val="both"/>
        <w:rPr>
          <w:rFonts w:eastAsia="Times New Roman"/>
          <w:noProof/>
          <w:snapToGrid w:val="0"/>
          <w:szCs w:val="24"/>
          <w:lang w:val="en-US" w:eastAsia="en-US"/>
        </w:rPr>
      </w:pPr>
      <m:oMath>
        <m:r>
          <w:rPr>
            <w:rFonts w:ascii="Cambria Math" w:eastAsia="Times New Roman" w:hAnsi="Cambria Math"/>
            <w:noProof/>
            <w:snapToGrid w:val="0"/>
            <w:szCs w:val="24"/>
            <w:lang w:val="en-US" w:eastAsia="en-US"/>
          </w:rPr>
          <m:t>α=</m:t>
        </m:r>
        <m:f>
          <m:fPr>
            <m:type m:val="skw"/>
            <m:ctrlPr>
              <w:rPr>
                <w:rFonts w:ascii="Cambria Math" w:eastAsia="Times New Roman" w:hAnsi="Cambria Math"/>
                <w:i/>
                <w:noProof/>
                <w:snapToGrid w:val="0"/>
                <w:szCs w:val="24"/>
                <w:lang w:val="en-US" w:eastAsia="en-US"/>
              </w:rPr>
            </m:ctrlPr>
          </m:fPr>
          <m:num>
            <m:sSub>
              <m:sSubPr>
                <m:ctrlPr>
                  <w:rPr>
                    <w:rFonts w:ascii="Cambria Math" w:eastAsia="Times New Roman" w:hAnsi="Cambria Math"/>
                    <w:i/>
                    <w:noProof/>
                    <w:snapToGrid w:val="0"/>
                    <w:szCs w:val="24"/>
                    <w:lang w:val="en-US" w:eastAsia="en-US"/>
                  </w:rPr>
                </m:ctrlPr>
              </m:sSubPr>
              <m:e>
                <m:r>
                  <w:rPr>
                    <w:rFonts w:ascii="Cambria Math" w:eastAsia="Times New Roman" w:hAnsi="Cambria Math"/>
                    <w:noProof/>
                    <w:snapToGrid w:val="0"/>
                    <w:szCs w:val="24"/>
                    <w:lang w:val="en-US" w:eastAsia="en-US"/>
                  </w:rPr>
                  <m:t>R</m:t>
                </m:r>
              </m:e>
              <m:sub>
                <m:r>
                  <w:rPr>
                    <w:rFonts w:ascii="Cambria Math" w:eastAsia="Times New Roman" w:hAnsi="Cambria Math"/>
                    <w:noProof/>
                    <w:snapToGrid w:val="0"/>
                    <w:szCs w:val="24"/>
                    <w:lang w:val="en-US" w:eastAsia="en-US"/>
                  </w:rPr>
                  <m:t>ki</m:t>
                </m:r>
              </m:sub>
            </m:sSub>
          </m:num>
          <m:den>
            <m:d>
              <m:dPr>
                <m:ctrlPr>
                  <w:rPr>
                    <w:rFonts w:ascii="Cambria Math" w:eastAsia="Times New Roman" w:hAnsi="Cambria Math"/>
                    <w:i/>
                    <w:noProof/>
                    <w:snapToGrid w:val="0"/>
                    <w:szCs w:val="24"/>
                    <w:lang w:val="en-US" w:eastAsia="en-US"/>
                  </w:rPr>
                </m:ctrlPr>
              </m:dPr>
              <m:e>
                <m:f>
                  <m:fPr>
                    <m:ctrlPr>
                      <w:rPr>
                        <w:rFonts w:ascii="Cambria Math" w:eastAsia="Times New Roman" w:hAnsi="Cambria Math"/>
                        <w:i/>
                        <w:noProof/>
                        <w:snapToGrid w:val="0"/>
                        <w:szCs w:val="24"/>
                        <w:lang w:val="en-US" w:eastAsia="en-US"/>
                      </w:rPr>
                    </m:ctrlPr>
                  </m:fPr>
                  <m:num>
                    <m:r>
                      <w:rPr>
                        <w:rFonts w:ascii="Cambria Math" w:eastAsia="Times New Roman" w:hAnsi="Cambria Math"/>
                        <w:noProof/>
                        <w:snapToGrid w:val="0"/>
                        <w:szCs w:val="24"/>
                        <w:lang w:val="en-US" w:eastAsia="en-US"/>
                      </w:rPr>
                      <m:t>E</m:t>
                    </m:r>
                    <m:sSub>
                      <m:sSubPr>
                        <m:ctrlPr>
                          <w:rPr>
                            <w:rFonts w:ascii="Cambria Math" w:eastAsia="Times New Roman" w:hAnsi="Cambria Math"/>
                            <w:i/>
                            <w:noProof/>
                            <w:snapToGrid w:val="0"/>
                            <w:szCs w:val="24"/>
                            <w:lang w:val="en-US" w:eastAsia="en-US"/>
                          </w:rPr>
                        </m:ctrlPr>
                      </m:sSubPr>
                      <m:e>
                        <m:r>
                          <w:rPr>
                            <w:rFonts w:ascii="Cambria Math" w:eastAsia="Times New Roman" w:hAnsi="Cambria Math"/>
                            <w:noProof/>
                            <w:snapToGrid w:val="0"/>
                            <w:szCs w:val="24"/>
                            <w:lang w:val="en-US" w:eastAsia="en-US"/>
                          </w:rPr>
                          <m:t>I</m:t>
                        </m:r>
                      </m:e>
                      <m:sub>
                        <m:r>
                          <w:rPr>
                            <w:rFonts w:ascii="Cambria Math" w:eastAsia="Times New Roman" w:hAnsi="Cambria Math"/>
                            <w:noProof/>
                            <w:snapToGrid w:val="0"/>
                            <w:szCs w:val="24"/>
                            <w:lang w:val="en-US" w:eastAsia="en-US"/>
                          </w:rPr>
                          <m:t>beam</m:t>
                        </m:r>
                      </m:sub>
                    </m:sSub>
                  </m:num>
                  <m:den>
                    <m:sSub>
                      <m:sSubPr>
                        <m:ctrlPr>
                          <w:rPr>
                            <w:rFonts w:ascii="Cambria Math" w:eastAsia="Times New Roman" w:hAnsi="Cambria Math"/>
                            <w:i/>
                            <w:noProof/>
                            <w:snapToGrid w:val="0"/>
                            <w:szCs w:val="24"/>
                            <w:lang w:val="en-US" w:eastAsia="en-US"/>
                          </w:rPr>
                        </m:ctrlPr>
                      </m:sSubPr>
                      <m:e>
                        <m:r>
                          <w:rPr>
                            <w:rFonts w:ascii="Cambria Math" w:eastAsia="Times New Roman" w:hAnsi="Cambria Math"/>
                            <w:noProof/>
                            <w:snapToGrid w:val="0"/>
                            <w:szCs w:val="24"/>
                            <w:lang w:val="en-US" w:eastAsia="en-US"/>
                          </w:rPr>
                          <m:t>L</m:t>
                        </m:r>
                      </m:e>
                      <m:sub>
                        <m:r>
                          <w:rPr>
                            <w:rFonts w:ascii="Cambria Math" w:eastAsia="Times New Roman" w:hAnsi="Cambria Math"/>
                            <w:noProof/>
                            <w:snapToGrid w:val="0"/>
                            <w:szCs w:val="24"/>
                            <w:lang w:val="en-US" w:eastAsia="en-US"/>
                          </w:rPr>
                          <m:t>beam</m:t>
                        </m:r>
                      </m:sub>
                    </m:sSub>
                  </m:den>
                </m:f>
              </m:e>
            </m:d>
          </m:den>
        </m:f>
      </m:oMath>
      <w:r w:rsidRPr="00E05BFE">
        <w:rPr>
          <w:rFonts w:eastAsia="Times New Roman"/>
          <w:noProof/>
          <w:snapToGrid w:val="0"/>
          <w:szCs w:val="24"/>
          <w:lang w:val="en-US" w:eastAsia="en-US"/>
        </w:rPr>
        <w:t xml:space="preserve">……..(1)       and    </w:t>
      </w:r>
      <m:oMath>
        <m:r>
          <w:rPr>
            <w:rFonts w:ascii="Cambria Math" w:eastAsia="Times New Roman" w:hAnsi="Cambria Math"/>
            <w:noProof/>
            <w:snapToGrid w:val="0"/>
            <w:szCs w:val="24"/>
            <w:lang w:val="en-US" w:eastAsia="en-US"/>
          </w:rPr>
          <m:t>β=</m:t>
        </m:r>
        <m:f>
          <m:fPr>
            <m:ctrlPr>
              <w:rPr>
                <w:rFonts w:ascii="Cambria Math" w:eastAsia="Times New Roman" w:hAnsi="Cambria Math"/>
                <w:i/>
                <w:noProof/>
                <w:snapToGrid w:val="0"/>
                <w:szCs w:val="24"/>
                <w:lang w:val="en-US" w:eastAsia="en-US"/>
              </w:rPr>
            </m:ctrlPr>
          </m:fPr>
          <m:num>
            <m:sSub>
              <m:sSubPr>
                <m:ctrlPr>
                  <w:rPr>
                    <w:rFonts w:ascii="Cambria Math" w:eastAsia="Times New Roman" w:hAnsi="Cambria Math"/>
                    <w:i/>
                    <w:noProof/>
                    <w:snapToGrid w:val="0"/>
                    <w:szCs w:val="24"/>
                    <w:lang w:val="en-US" w:eastAsia="en-US"/>
                  </w:rPr>
                </m:ctrlPr>
              </m:sSubPr>
              <m:e>
                <m:r>
                  <w:rPr>
                    <w:rFonts w:ascii="Cambria Math" w:eastAsia="Times New Roman" w:hAnsi="Cambria Math"/>
                    <w:noProof/>
                    <w:snapToGrid w:val="0"/>
                    <w:szCs w:val="24"/>
                    <w:lang w:val="en-US" w:eastAsia="en-US"/>
                  </w:rPr>
                  <m:t>M</m:t>
                </m:r>
              </m:e>
              <m:sub>
                <m:r>
                  <w:rPr>
                    <w:rFonts w:ascii="Cambria Math" w:eastAsia="Times New Roman" w:hAnsi="Cambria Math"/>
                    <w:noProof/>
                    <w:snapToGrid w:val="0"/>
                    <w:szCs w:val="24"/>
                    <w:lang w:val="en-US" w:eastAsia="en-US"/>
                  </w:rPr>
                  <m:t>pc</m:t>
                </m:r>
              </m:sub>
            </m:sSub>
          </m:num>
          <m:den>
            <m:sSub>
              <m:sSubPr>
                <m:ctrlPr>
                  <w:rPr>
                    <w:rFonts w:ascii="Cambria Math" w:eastAsia="Times New Roman" w:hAnsi="Cambria Math"/>
                    <w:i/>
                    <w:noProof/>
                    <w:snapToGrid w:val="0"/>
                    <w:szCs w:val="24"/>
                    <w:lang w:val="en-US" w:eastAsia="en-US"/>
                  </w:rPr>
                </m:ctrlPr>
              </m:sSubPr>
              <m:e>
                <m:r>
                  <w:rPr>
                    <w:rFonts w:ascii="Cambria Math" w:eastAsia="Times New Roman" w:hAnsi="Cambria Math"/>
                    <w:noProof/>
                    <w:snapToGrid w:val="0"/>
                    <w:szCs w:val="24"/>
                    <w:lang w:val="en-US" w:eastAsia="en-US"/>
                  </w:rPr>
                  <m:t>M</m:t>
                </m:r>
              </m:e>
              <m:sub>
                <m:r>
                  <w:rPr>
                    <w:rFonts w:ascii="Cambria Math" w:eastAsia="Times New Roman" w:hAnsi="Cambria Math"/>
                    <w:noProof/>
                    <w:snapToGrid w:val="0"/>
                    <w:szCs w:val="24"/>
                    <w:lang w:val="en-US" w:eastAsia="en-US"/>
                  </w:rPr>
                  <m:t>pb</m:t>
                </m:r>
              </m:sub>
            </m:sSub>
          </m:den>
        </m:f>
      </m:oMath>
      <w:r w:rsidRPr="00E05BFE">
        <w:rPr>
          <w:rFonts w:eastAsia="Times New Roman"/>
          <w:noProof/>
          <w:snapToGrid w:val="0"/>
          <w:szCs w:val="24"/>
          <w:lang w:val="en-US" w:eastAsia="en-US"/>
        </w:rPr>
        <w:t xml:space="preserve">  ………</w:t>
      </w:r>
      <w:r w:rsidRPr="00E05BFE">
        <w:rPr>
          <w:rFonts w:eastAsia="Times New Roman"/>
          <w:noProof/>
          <w:snapToGrid w:val="0"/>
          <w:szCs w:val="24"/>
          <w:lang w:val="en-US" w:eastAsia="en-US"/>
        </w:rPr>
        <w:tab/>
      </w:r>
      <w:r w:rsidRPr="00E05BFE">
        <w:rPr>
          <w:rFonts w:eastAsia="Times New Roman"/>
          <w:noProof/>
          <w:snapToGrid w:val="0"/>
          <w:szCs w:val="24"/>
          <w:lang w:val="en-US" w:eastAsia="en-US"/>
        </w:rPr>
        <w:tab/>
      </w:r>
      <w:r w:rsidRPr="00E05BFE">
        <w:rPr>
          <w:rFonts w:eastAsia="Times New Roman"/>
          <w:noProof/>
          <w:snapToGrid w:val="0"/>
          <w:szCs w:val="24"/>
          <w:lang w:val="en-US" w:eastAsia="en-US"/>
        </w:rPr>
        <w:tab/>
      </w:r>
      <w:r w:rsidRPr="00E05BFE">
        <w:rPr>
          <w:rFonts w:eastAsia="Times New Roman"/>
          <w:noProof/>
          <w:snapToGrid w:val="0"/>
          <w:szCs w:val="24"/>
          <w:lang w:val="en-US" w:eastAsia="en-US"/>
        </w:rPr>
        <w:tab/>
      </w:r>
      <w:r w:rsidRPr="00E05BFE">
        <w:rPr>
          <w:rFonts w:eastAsia="Times New Roman"/>
          <w:noProof/>
          <w:snapToGrid w:val="0"/>
          <w:szCs w:val="24"/>
          <w:lang w:val="en-US" w:eastAsia="en-US"/>
        </w:rPr>
        <w:tab/>
      </w:r>
      <w:r w:rsidRPr="00E05BFE">
        <w:rPr>
          <w:rFonts w:eastAsia="Times New Roman"/>
          <w:noProof/>
          <w:snapToGrid w:val="0"/>
          <w:szCs w:val="24"/>
          <w:lang w:val="en-US" w:eastAsia="en-US"/>
        </w:rPr>
        <w:tab/>
      </w:r>
      <w:r w:rsidRPr="00E05BFE">
        <w:rPr>
          <w:rFonts w:eastAsia="Times New Roman"/>
          <w:noProof/>
          <w:snapToGrid w:val="0"/>
          <w:szCs w:val="24"/>
          <w:lang w:val="en-US" w:eastAsia="en-US"/>
        </w:rPr>
        <w:tab/>
        <w:t>(2)</w:t>
      </w:r>
    </w:p>
    <w:p w:rsidR="00E05BFE" w:rsidRPr="00E05BFE" w:rsidRDefault="00E05BFE" w:rsidP="00E05BFE">
      <w:pPr>
        <w:widowControl w:val="0"/>
        <w:spacing w:after="0" w:line="240" w:lineRule="auto"/>
        <w:jc w:val="both"/>
        <w:rPr>
          <w:rFonts w:eastAsia="Times New Roman"/>
          <w:noProof/>
          <w:snapToGrid w:val="0"/>
          <w:szCs w:val="24"/>
          <w:lang w:val="en-US" w:eastAsia="en-US"/>
        </w:rPr>
      </w:pPr>
    </w:p>
    <w:p w:rsidR="00E05BFE" w:rsidRPr="00E05BFE" w:rsidRDefault="00E05BFE" w:rsidP="00E05BFE">
      <w:pPr>
        <w:widowControl w:val="0"/>
        <w:spacing w:after="0" w:line="240" w:lineRule="auto"/>
        <w:jc w:val="both"/>
        <w:rPr>
          <w:rFonts w:eastAsia="Times New Roman"/>
          <w:noProof/>
          <w:snapToGrid w:val="0"/>
          <w:szCs w:val="24"/>
          <w:lang w:val="en-US" w:eastAsia="en-US"/>
        </w:rPr>
      </w:pPr>
      <w:r w:rsidRPr="00E05BFE">
        <w:rPr>
          <w:rFonts w:eastAsia="Times New Roman"/>
          <w:noProof/>
          <w:snapToGrid w:val="0"/>
          <w:szCs w:val="24"/>
          <w:lang w:val="en-US" w:eastAsia="en-US"/>
        </w:rPr>
        <w:t>Where R</w:t>
      </w:r>
      <w:r w:rsidRPr="00E05BFE">
        <w:rPr>
          <w:rFonts w:eastAsia="Times New Roman"/>
          <w:noProof/>
          <w:snapToGrid w:val="0"/>
          <w:szCs w:val="24"/>
          <w:vertAlign w:val="subscript"/>
          <w:lang w:val="en-US" w:eastAsia="en-US"/>
        </w:rPr>
        <w:t>ki</w:t>
      </w:r>
      <w:r w:rsidRPr="00E05BFE">
        <w:rPr>
          <w:rFonts w:eastAsia="Times New Roman"/>
          <w:noProof/>
          <w:snapToGrid w:val="0"/>
          <w:szCs w:val="24"/>
          <w:lang w:val="en-US" w:eastAsia="en-US"/>
        </w:rPr>
        <w:t>= Initial Connection Stiffness; EI</w:t>
      </w:r>
      <w:r w:rsidRPr="00E05BFE">
        <w:rPr>
          <w:rFonts w:eastAsia="Times New Roman"/>
          <w:noProof/>
          <w:snapToGrid w:val="0"/>
          <w:szCs w:val="24"/>
          <w:vertAlign w:val="subscript"/>
          <w:lang w:val="en-US" w:eastAsia="en-US"/>
        </w:rPr>
        <w:t>beam</w:t>
      </w:r>
      <w:r w:rsidRPr="00E05BFE">
        <w:rPr>
          <w:rFonts w:eastAsia="Times New Roman"/>
          <w:noProof/>
          <w:snapToGrid w:val="0"/>
          <w:szCs w:val="24"/>
          <w:lang w:val="en-US" w:eastAsia="en-US"/>
        </w:rPr>
        <w:t>/L</w:t>
      </w:r>
      <w:r w:rsidRPr="00E05BFE">
        <w:rPr>
          <w:rFonts w:eastAsia="Times New Roman"/>
          <w:noProof/>
          <w:snapToGrid w:val="0"/>
          <w:szCs w:val="24"/>
          <w:vertAlign w:val="subscript"/>
          <w:lang w:val="en-US" w:eastAsia="en-US"/>
        </w:rPr>
        <w:t>beam</w:t>
      </w:r>
      <w:r w:rsidRPr="00E05BFE">
        <w:rPr>
          <w:rFonts w:eastAsia="Times New Roman"/>
          <w:noProof/>
          <w:snapToGrid w:val="0"/>
          <w:szCs w:val="24"/>
          <w:lang w:val="en-US" w:eastAsia="en-US"/>
        </w:rPr>
        <w:t xml:space="preserve"> = Connected Beam Stiffness</w:t>
      </w:r>
    </w:p>
    <w:p w:rsidR="00E05BFE" w:rsidRPr="00E05BFE" w:rsidRDefault="00E05BFE" w:rsidP="00E05BFE">
      <w:pPr>
        <w:widowControl w:val="0"/>
        <w:spacing w:after="0" w:line="240" w:lineRule="auto"/>
        <w:jc w:val="both"/>
        <w:rPr>
          <w:rFonts w:eastAsia="Times New Roman"/>
          <w:noProof/>
          <w:snapToGrid w:val="0"/>
          <w:szCs w:val="24"/>
          <w:lang w:val="en-US" w:eastAsia="en-US"/>
        </w:rPr>
      </w:pPr>
    </w:p>
    <w:p w:rsidR="00E05BFE" w:rsidRPr="00E05BFE" w:rsidRDefault="00E05BFE" w:rsidP="00E05BFE">
      <w:pPr>
        <w:widowControl w:val="0"/>
        <w:spacing w:after="0" w:line="240" w:lineRule="auto"/>
        <w:jc w:val="center"/>
        <w:rPr>
          <w:rFonts w:eastAsia="Times New Roman"/>
          <w:snapToGrid w:val="0"/>
          <w:szCs w:val="24"/>
          <w:lang w:val="en-US" w:eastAsia="en-US"/>
        </w:rPr>
      </w:pPr>
      <w:r w:rsidRPr="00E05BFE">
        <w:rPr>
          <w:rFonts w:eastAsia="Times New Roman"/>
          <w:noProof/>
          <w:snapToGrid w:val="0"/>
          <w:szCs w:val="24"/>
        </w:rPr>
        <w:drawing>
          <wp:inline distT="0" distB="0" distL="0" distR="0" wp14:anchorId="6D5FA527" wp14:editId="094FC900">
            <wp:extent cx="2541993" cy="2274073"/>
            <wp:effectExtent l="19050" t="0" r="0" b="0"/>
            <wp:docPr id="3" name="Picture 11" descr="D:\Vijay Sharma\SAP DIRECTORY\IITR-Paper-1\Journal P-1 Data\JCSR_1\Response Plots\Final Figures for Pape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jay Sharma\SAP DIRECTORY\IITR-Paper-1\Journal P-1 Data\JCSR_1\Response Plots\Final Figures for Paper\Figure 2.jpg"/>
                    <pic:cNvPicPr>
                      <a:picLocks noChangeAspect="1" noChangeArrowheads="1"/>
                    </pic:cNvPicPr>
                  </pic:nvPicPr>
                  <pic:blipFill>
                    <a:blip r:embed="rId8" cstate="print"/>
                    <a:srcRect/>
                    <a:stretch>
                      <a:fillRect/>
                    </a:stretch>
                  </pic:blipFill>
                  <pic:spPr bwMode="auto">
                    <a:xfrm>
                      <a:off x="0" y="0"/>
                      <a:ext cx="2541234" cy="2273394"/>
                    </a:xfrm>
                    <a:prstGeom prst="rect">
                      <a:avLst/>
                    </a:prstGeom>
                    <a:noFill/>
                    <a:ln w="9525">
                      <a:noFill/>
                      <a:miter lim="800000"/>
                      <a:headEnd/>
                      <a:tailEnd/>
                    </a:ln>
                  </pic:spPr>
                </pic:pic>
              </a:graphicData>
            </a:graphic>
          </wp:inline>
        </w:drawing>
      </w:r>
      <w:r w:rsidRPr="00E05BFE">
        <w:rPr>
          <w:rFonts w:eastAsia="Times New Roman"/>
          <w:noProof/>
          <w:snapToGrid w:val="0"/>
          <w:szCs w:val="24"/>
        </w:rPr>
        <w:drawing>
          <wp:inline distT="0" distB="0" distL="0" distR="0" wp14:anchorId="54DEBF5E" wp14:editId="00606619">
            <wp:extent cx="2708165" cy="2201112"/>
            <wp:effectExtent l="19050" t="0" r="0" b="0"/>
            <wp:docPr id="4" name="Picture 12" descr="D:\Vijay Sharma\SAP DIRECTORY\IITR-Paper-1\Journal P-1 Data\JCSR_1\Response Plots\Final Figures for Pape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jay Sharma\SAP DIRECTORY\IITR-Paper-1\Journal P-1 Data\JCSR_1\Response Plots\Final Figures for Paper\Figure 4.jpg"/>
                    <pic:cNvPicPr>
                      <a:picLocks noChangeAspect="1" noChangeArrowheads="1"/>
                    </pic:cNvPicPr>
                  </pic:nvPicPr>
                  <pic:blipFill>
                    <a:blip r:embed="rId9" cstate="print"/>
                    <a:srcRect l="18523" t="7181" r="9983" b="17582"/>
                    <a:stretch>
                      <a:fillRect/>
                    </a:stretch>
                  </pic:blipFill>
                  <pic:spPr bwMode="auto">
                    <a:xfrm>
                      <a:off x="0" y="0"/>
                      <a:ext cx="2710009" cy="2202611"/>
                    </a:xfrm>
                    <a:prstGeom prst="rect">
                      <a:avLst/>
                    </a:prstGeom>
                    <a:noFill/>
                    <a:ln w="9525">
                      <a:noFill/>
                      <a:miter lim="800000"/>
                      <a:headEnd/>
                      <a:tailEnd/>
                    </a:ln>
                  </pic:spPr>
                </pic:pic>
              </a:graphicData>
            </a:graphic>
          </wp:inline>
        </w:drawing>
      </w:r>
    </w:p>
    <w:p w:rsidR="00E05BFE" w:rsidRPr="00E05BFE" w:rsidRDefault="00E05BFE" w:rsidP="00E05BFE">
      <w:pPr>
        <w:widowControl w:val="0"/>
        <w:spacing w:after="0" w:line="240" w:lineRule="auto"/>
        <w:ind w:left="2552"/>
        <w:jc w:val="both"/>
        <w:rPr>
          <w:rFonts w:eastAsia="Times New Roman"/>
          <w:snapToGrid w:val="0"/>
          <w:szCs w:val="20"/>
          <w:lang w:val="en-US" w:eastAsia="en-US"/>
        </w:rPr>
      </w:pPr>
      <w:r w:rsidRPr="00E05BFE">
        <w:rPr>
          <w:rFonts w:eastAsia="Times New Roman"/>
          <w:snapToGrid w:val="0"/>
          <w:szCs w:val="20"/>
          <w:lang w:val="en-US" w:eastAsia="en-US"/>
        </w:rPr>
        <w:t>(a)</w:t>
      </w:r>
      <w:r w:rsidRPr="00E05BFE">
        <w:rPr>
          <w:rFonts w:eastAsia="Times New Roman"/>
          <w:snapToGrid w:val="0"/>
          <w:szCs w:val="20"/>
          <w:lang w:val="en-US" w:eastAsia="en-US"/>
        </w:rPr>
        <w:tab/>
      </w:r>
      <w:r w:rsidRPr="00E05BFE">
        <w:rPr>
          <w:rFonts w:eastAsia="Times New Roman"/>
          <w:snapToGrid w:val="0"/>
          <w:szCs w:val="20"/>
          <w:lang w:val="en-US" w:eastAsia="en-US"/>
        </w:rPr>
        <w:tab/>
      </w:r>
      <w:r w:rsidRPr="00E05BFE">
        <w:rPr>
          <w:rFonts w:eastAsia="Times New Roman"/>
          <w:snapToGrid w:val="0"/>
          <w:szCs w:val="20"/>
          <w:lang w:val="en-US" w:eastAsia="en-US"/>
        </w:rPr>
        <w:tab/>
      </w:r>
      <w:r w:rsidRPr="00E05BFE">
        <w:rPr>
          <w:rFonts w:eastAsia="Times New Roman"/>
          <w:snapToGrid w:val="0"/>
          <w:szCs w:val="20"/>
          <w:lang w:val="en-US" w:eastAsia="en-US"/>
        </w:rPr>
        <w:tab/>
      </w:r>
      <w:r w:rsidRPr="00E05BFE">
        <w:rPr>
          <w:rFonts w:eastAsia="Times New Roman"/>
          <w:snapToGrid w:val="0"/>
          <w:szCs w:val="20"/>
          <w:lang w:val="en-US" w:eastAsia="en-US"/>
        </w:rPr>
        <w:tab/>
      </w:r>
      <w:r w:rsidRPr="00E05BFE">
        <w:rPr>
          <w:rFonts w:eastAsia="Times New Roman"/>
          <w:snapToGrid w:val="0"/>
          <w:szCs w:val="20"/>
          <w:lang w:val="en-US" w:eastAsia="en-US"/>
        </w:rPr>
        <w:tab/>
        <w:t xml:space="preserve">      (b)</w:t>
      </w:r>
    </w:p>
    <w:p w:rsidR="00E05BFE" w:rsidRPr="00E05BFE" w:rsidRDefault="00E05BFE" w:rsidP="00E05BFE">
      <w:pPr>
        <w:widowControl w:val="0"/>
        <w:spacing w:after="0" w:line="240" w:lineRule="auto"/>
        <w:ind w:left="1890"/>
        <w:jc w:val="both"/>
        <w:rPr>
          <w:rFonts w:eastAsia="Times New Roman"/>
          <w:snapToGrid w:val="0"/>
          <w:szCs w:val="20"/>
          <w:lang w:val="en-US" w:eastAsia="en-US"/>
        </w:rPr>
      </w:pPr>
    </w:p>
    <w:p w:rsidR="00E05BFE" w:rsidRPr="00E05BFE" w:rsidRDefault="00E05BFE" w:rsidP="00E05BFE">
      <w:pPr>
        <w:widowControl w:val="0"/>
        <w:spacing w:after="0" w:line="240" w:lineRule="auto"/>
        <w:jc w:val="center"/>
        <w:rPr>
          <w:rFonts w:eastAsia="Times New Roman"/>
          <w:snapToGrid w:val="0"/>
          <w:sz w:val="20"/>
          <w:szCs w:val="24"/>
          <w:lang w:val="en-US" w:eastAsia="en-US"/>
        </w:rPr>
      </w:pPr>
      <w:r w:rsidRPr="00E05BFE">
        <w:rPr>
          <w:rFonts w:eastAsia="Times New Roman"/>
          <w:snapToGrid w:val="0"/>
          <w:sz w:val="20"/>
          <w:szCs w:val="24"/>
          <w:lang w:val="en-US" w:eastAsia="en-US"/>
        </w:rPr>
        <w:t>Figure 1. (a) Typical Moment-Rotation Curve for Semi-Rigid Connection (b) Hysteresis Curve for Default Plastic Hinges as per ASCE-41-13</w:t>
      </w:r>
    </w:p>
    <w:p w:rsidR="00E05BFE" w:rsidRPr="00E05BFE" w:rsidRDefault="00E05BFE" w:rsidP="00E05BFE">
      <w:pPr>
        <w:widowControl w:val="0"/>
        <w:spacing w:after="0" w:line="240" w:lineRule="auto"/>
        <w:jc w:val="both"/>
        <w:rPr>
          <w:rFonts w:eastAsia="Times New Roman"/>
          <w:noProof/>
          <w:snapToGrid w:val="0"/>
          <w:szCs w:val="24"/>
          <w:lang w:val="en-US" w:eastAsia="en-US"/>
        </w:rPr>
      </w:pPr>
    </w:p>
    <w:p w:rsidR="00E05BFE" w:rsidRPr="00E05BFE" w:rsidRDefault="00E05BFE" w:rsidP="00E05BFE">
      <w:pPr>
        <w:widowControl w:val="0"/>
        <w:spacing w:after="0" w:line="240" w:lineRule="auto"/>
        <w:jc w:val="both"/>
        <w:rPr>
          <w:rFonts w:eastAsia="Times New Roman"/>
          <w:noProof/>
          <w:snapToGrid w:val="0"/>
          <w:szCs w:val="24"/>
          <w:lang w:val="en-US" w:eastAsia="en-US"/>
        </w:rPr>
      </w:pPr>
      <w:r w:rsidRPr="00E05BFE">
        <w:rPr>
          <w:rFonts w:eastAsia="Times New Roman"/>
          <w:snapToGrid w:val="0"/>
          <w:szCs w:val="24"/>
          <w:lang w:val="en-US" w:eastAsia="en-US"/>
        </w:rPr>
        <w:t xml:space="preserve">In SAP2000, the SR connections modeled as two jointed zero length multi-linear plastic link element (MLP) with rotational nonlinearity in the </w:t>
      </w:r>
      <w:r w:rsidRPr="00E05BFE">
        <w:rPr>
          <w:rFonts w:eastAsia="Times New Roman"/>
          <w:noProof/>
          <w:snapToGrid w:val="0"/>
          <w:szCs w:val="24"/>
          <w:lang w:val="en-US" w:eastAsia="en-US"/>
        </w:rPr>
        <w:t>R3</w:t>
      </w:r>
      <w:r w:rsidRPr="00E05BFE">
        <w:rPr>
          <w:rFonts w:eastAsia="Times New Roman"/>
          <w:snapToGrid w:val="0"/>
          <w:szCs w:val="24"/>
          <w:lang w:val="en-US" w:eastAsia="en-US"/>
        </w:rPr>
        <w:t xml:space="preserve"> direction. </w:t>
      </w:r>
      <w:r w:rsidRPr="00E05BFE">
        <w:rPr>
          <w:rFonts w:eastAsia="Times New Roman"/>
          <w:noProof/>
          <w:snapToGrid w:val="0"/>
          <w:szCs w:val="24"/>
          <w:lang w:val="en-US" w:eastAsia="en-US"/>
        </w:rPr>
        <w:t xml:space="preserve">The material nonlinearity in the structureis modeled like a concentrated default flexural plastic hinge as per ASCE 41-13,and geometric nonlinearity is incorporating through P-Δ consideration.  </w:t>
      </w:r>
      <w:r w:rsidRPr="00E05BFE">
        <w:rPr>
          <w:rFonts w:eastAsia="Times New Roman"/>
          <w:snapToGrid w:val="0"/>
          <w:szCs w:val="24"/>
          <w:lang w:val="en-US" w:eastAsia="en-US"/>
        </w:rPr>
        <w:t xml:space="preserve">The </w:t>
      </w:r>
      <w:r w:rsidRPr="00E05BFE">
        <w:rPr>
          <w:rFonts w:eastAsia="Times New Roman"/>
          <w:noProof/>
          <w:snapToGrid w:val="0"/>
          <w:szCs w:val="24"/>
          <w:lang w:val="en-US" w:eastAsia="en-US"/>
        </w:rPr>
        <w:t>kinematic hysteresis behavior of MLP link for energy dissipation in cyclic loadingis shown in Figure 1(a) and Figure 1(b) explained the hysteresis behavior of default plastic hinges.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b/>
          <w:i/>
          <w:iCs/>
          <w:snapToGrid w:val="0"/>
          <w:szCs w:val="24"/>
          <w:lang w:val="en-US" w:eastAsia="en-US"/>
        </w:rPr>
      </w:pPr>
      <w:r w:rsidRPr="00E05BFE">
        <w:rPr>
          <w:rFonts w:eastAsia="Times New Roman"/>
          <w:b/>
          <w:i/>
          <w:iCs/>
          <w:snapToGrid w:val="0"/>
          <w:szCs w:val="24"/>
          <w:lang w:val="en-US" w:eastAsia="en-US"/>
        </w:rPr>
        <w:t xml:space="preserve">2.2 Analysis </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bCs/>
          <w:i/>
          <w:iCs/>
          <w:snapToGrid w:val="0"/>
          <w:szCs w:val="24"/>
          <w:lang w:val="en-US" w:eastAsia="en-US"/>
        </w:rPr>
      </w:pPr>
      <w:r w:rsidRPr="00E05BFE">
        <w:rPr>
          <w:rFonts w:eastAsia="Times New Roman"/>
          <w:bCs/>
          <w:i/>
          <w:iCs/>
          <w:snapToGrid w:val="0"/>
          <w:szCs w:val="24"/>
          <w:lang w:val="en-US" w:eastAsia="en-US"/>
        </w:rPr>
        <w:t>2.2.1 Nonlinear Static Procedure- Pushover Analysis (POA)</w:t>
      </w:r>
    </w:p>
    <w:p w:rsidR="00E05BFE" w:rsidRPr="00E05BFE" w:rsidRDefault="00E05BFE" w:rsidP="00E05BFE">
      <w:pPr>
        <w:widowControl w:val="0"/>
        <w:spacing w:after="0" w:line="240" w:lineRule="auto"/>
        <w:jc w:val="both"/>
        <w:rPr>
          <w:rFonts w:eastAsia="Times New Roman"/>
          <w:bCs/>
          <w:snapToGrid w:val="0"/>
          <w:szCs w:val="24"/>
          <w:lang w:val="en-US" w:eastAsia="en-US"/>
        </w:rPr>
      </w:pPr>
    </w:p>
    <w:p w:rsidR="00E05BFE" w:rsidRPr="00E05BFE" w:rsidRDefault="00E05BFE" w:rsidP="00E05BFE">
      <w:pPr>
        <w:widowControl w:val="0"/>
        <w:spacing w:after="0" w:line="240" w:lineRule="auto"/>
        <w:jc w:val="both"/>
        <w:rPr>
          <w:rFonts w:eastAsia="Times New Roman"/>
          <w:bCs/>
          <w:snapToGrid w:val="0"/>
          <w:szCs w:val="24"/>
          <w:lang w:val="en-US" w:eastAsia="en-US"/>
        </w:rPr>
      </w:pPr>
      <w:r w:rsidRPr="00E05BFE">
        <w:rPr>
          <w:rFonts w:eastAsia="Times New Roman"/>
          <w:bCs/>
          <w:snapToGrid w:val="0"/>
          <w:szCs w:val="24"/>
          <w:lang w:val="en-US" w:eastAsia="en-US"/>
        </w:rPr>
        <w:t xml:space="preserve">The nonlinear static pushover analysis of fully rigid connected (FRC) and semi-rigid (SR) </w:t>
      </w:r>
      <w:r w:rsidRPr="00E05BFE">
        <w:rPr>
          <w:rFonts w:eastAsia="Times New Roman"/>
          <w:bCs/>
          <w:noProof/>
          <w:snapToGrid w:val="0"/>
          <w:szCs w:val="24"/>
          <w:lang w:val="en-US" w:eastAsia="en-US"/>
        </w:rPr>
        <w:t>connected</w:t>
      </w:r>
      <w:r w:rsidRPr="00E05BFE">
        <w:rPr>
          <w:rFonts w:eastAsia="Times New Roman"/>
          <w:bCs/>
          <w:snapToGrid w:val="0"/>
          <w:szCs w:val="24"/>
          <w:lang w:val="en-US" w:eastAsia="en-US"/>
        </w:rPr>
        <w:t xml:space="preserve"> frames are carried out at 4% of the total height of monitored displacement till the collapse level. The first mode shape lateral load </w:t>
      </w:r>
      <w:r w:rsidRPr="00E05BFE">
        <w:rPr>
          <w:rFonts w:eastAsia="Times New Roman"/>
          <w:bCs/>
          <w:noProof/>
          <w:snapToGrid w:val="0"/>
          <w:szCs w:val="24"/>
          <w:lang w:val="en-US" w:eastAsia="en-US"/>
        </w:rPr>
        <w:t>is selected</w:t>
      </w:r>
      <w:r w:rsidRPr="00E05BFE">
        <w:rPr>
          <w:rFonts w:eastAsia="Times New Roman"/>
          <w:bCs/>
          <w:snapToGrid w:val="0"/>
          <w:szCs w:val="24"/>
          <w:lang w:val="en-US" w:eastAsia="en-US"/>
        </w:rPr>
        <w:t xml:space="preserve"> for the </w:t>
      </w:r>
      <w:r w:rsidRPr="00E05BFE">
        <w:rPr>
          <w:rFonts w:eastAsia="Times New Roman"/>
          <w:bCs/>
          <w:noProof/>
          <w:snapToGrid w:val="0"/>
          <w:szCs w:val="24"/>
          <w:lang w:val="en-US" w:eastAsia="en-US"/>
        </w:rPr>
        <w:t>lateral</w:t>
      </w:r>
      <w:r w:rsidRPr="00E05BFE">
        <w:rPr>
          <w:rFonts w:eastAsia="Times New Roman"/>
          <w:bCs/>
          <w:snapToGrid w:val="0"/>
          <w:szCs w:val="24"/>
          <w:lang w:val="en-US" w:eastAsia="en-US"/>
        </w:rPr>
        <w:t xml:space="preserve"> push. Further, the performance points </w:t>
      </w:r>
      <w:r w:rsidRPr="00E05BFE">
        <w:rPr>
          <w:rFonts w:eastAsia="Times New Roman"/>
          <w:bCs/>
          <w:noProof/>
          <w:snapToGrid w:val="0"/>
          <w:szCs w:val="24"/>
          <w:lang w:val="en-US" w:eastAsia="en-US"/>
        </w:rPr>
        <w:t>are obtained</w:t>
      </w:r>
      <w:r w:rsidRPr="00E05BFE">
        <w:rPr>
          <w:rFonts w:eastAsia="Times New Roman"/>
          <w:bCs/>
          <w:snapToGrid w:val="0"/>
          <w:szCs w:val="24"/>
          <w:lang w:val="en-US" w:eastAsia="en-US"/>
        </w:rPr>
        <w:t xml:space="preserve"> from three 5 % damped demand response spectrums for FF, NFD and NFF type earthquakes based on ATC-40 capacity spectrum method (CSM) </w:t>
      </w:r>
      <w:hyperlink w:anchor="_ENREF_2" w:tooltip="ATC-40, 1996 #110" w:history="1">
        <w:r w:rsidRPr="00E05BFE">
          <w:rPr>
            <w:rFonts w:eastAsia="Times New Roman"/>
            <w:bCs/>
            <w:snapToGrid w:val="0"/>
            <w:szCs w:val="24"/>
            <w:lang w:val="en-US" w:eastAsia="en-US"/>
          </w:rPr>
          <w:fldChar w:fldCharType="begin"/>
        </w:r>
        <w:r w:rsidRPr="00E05BFE">
          <w:rPr>
            <w:rFonts w:eastAsia="Times New Roman"/>
            <w:bCs/>
            <w:snapToGrid w:val="0"/>
            <w:szCs w:val="24"/>
            <w:lang w:val="en-US" w:eastAsia="en-US"/>
          </w:rPr>
          <w:instrText xml:space="preserve"> ADDIN EN.CITE &lt;EndNote&gt;&lt;Cite AuthorYear="1"&gt;&lt;Author&gt;ATC-40&lt;/Author&gt;&lt;Year&gt;1996&lt;/Year&gt;&lt;RecNum&gt;110&lt;/RecNum&gt;&lt;DisplayText&gt;ATC-40 (1996)&lt;/DisplayText&gt;&lt;record&gt;&lt;rec-number&gt;110&lt;/rec-number&gt;&lt;foreign-keys&gt;&lt;key app="EN" db-id="r2vvdt95az9wv4epvf6xd2dkptr2ddwpz0ps" timestamp="1548227678"&gt;110&lt;/key&gt;&lt;/foreign-keys&gt;&lt;ref-type name="Journal Article"&gt;17&lt;/ref-type&gt;&lt;contributors&gt;&lt;authors&gt;&lt;author&gt;ATC-40&lt;/author&gt;&lt;/authors&gt;&lt;/contributors&gt;&lt;titles&gt;&lt;title&gt;Applied Technology Council-Seismic evaluation and retrofit of concrete buildings&lt;/title&gt;&lt;/titles&gt;&lt;volume&gt;Rep. No. SSC 96-01: ATC-40&lt;/volume&gt;&lt;number&gt;1&lt;/number&gt;&lt;dates&gt;&lt;year&gt;1996&lt;/year&gt;&lt;/dates&gt;&lt;pub-location&gt; Redwood&amp;#xD;City, California&lt;/pub-location&gt;&lt;urls&gt;&lt;/urls&gt;&lt;/record&gt;&lt;/Cite&gt;&lt;/EndNote&gt;</w:instrText>
        </w:r>
        <w:r w:rsidRPr="00E05BFE">
          <w:rPr>
            <w:rFonts w:eastAsia="Times New Roman"/>
            <w:bCs/>
            <w:snapToGrid w:val="0"/>
            <w:szCs w:val="24"/>
            <w:lang w:val="en-US" w:eastAsia="en-US"/>
          </w:rPr>
          <w:fldChar w:fldCharType="separate"/>
        </w:r>
        <w:r w:rsidRPr="00E05BFE">
          <w:rPr>
            <w:rFonts w:eastAsia="Times New Roman"/>
            <w:bCs/>
            <w:noProof/>
            <w:snapToGrid w:val="0"/>
            <w:szCs w:val="24"/>
            <w:lang w:val="en-US" w:eastAsia="en-US"/>
          </w:rPr>
          <w:t>ATC-40 (1996)</w:t>
        </w:r>
        <w:r w:rsidRPr="00E05BFE">
          <w:rPr>
            <w:rFonts w:eastAsia="Times New Roman"/>
            <w:bCs/>
            <w:snapToGrid w:val="0"/>
            <w:szCs w:val="24"/>
            <w:lang w:val="en-US" w:eastAsia="en-US"/>
          </w:rPr>
          <w:fldChar w:fldCharType="end"/>
        </w:r>
      </w:hyperlink>
      <w:r w:rsidRPr="00E05BFE">
        <w:rPr>
          <w:rFonts w:eastAsia="Times New Roman"/>
          <w:bCs/>
          <w:snapToGrid w:val="0"/>
          <w:szCs w:val="24"/>
          <w:lang w:val="en-US" w:eastAsia="en-US"/>
        </w:rPr>
        <w:t xml:space="preserve">.  The performance points </w:t>
      </w:r>
      <w:r w:rsidRPr="00E05BFE">
        <w:rPr>
          <w:rFonts w:eastAsia="Times New Roman"/>
          <w:bCs/>
          <w:noProof/>
          <w:snapToGrid w:val="0"/>
          <w:szCs w:val="24"/>
          <w:lang w:val="en-US" w:eastAsia="en-US"/>
        </w:rPr>
        <w:t>are obtained</w:t>
      </w:r>
      <w:r w:rsidRPr="00E05BFE">
        <w:rPr>
          <w:rFonts w:eastAsia="Times New Roman"/>
          <w:bCs/>
          <w:snapToGrid w:val="0"/>
          <w:szCs w:val="24"/>
          <w:lang w:val="en-US" w:eastAsia="en-US"/>
        </w:rPr>
        <w:t xml:space="preserve"> at three PGA levels corresponding to three performance states, namely, 0.3g (Elastic), 0.5g (Elastic-Plastic) and 0.7g (Plastic).The performance point evaluations </w:t>
      </w:r>
      <w:r w:rsidRPr="00E05BFE">
        <w:rPr>
          <w:rFonts w:eastAsia="Times New Roman"/>
          <w:bCs/>
          <w:noProof/>
          <w:snapToGrid w:val="0"/>
          <w:szCs w:val="24"/>
          <w:lang w:val="en-US" w:eastAsia="en-US"/>
        </w:rPr>
        <w:t>are based</w:t>
      </w:r>
      <w:r w:rsidRPr="00E05BFE">
        <w:rPr>
          <w:rFonts w:eastAsia="Times New Roman"/>
          <w:bCs/>
          <w:snapToGrid w:val="0"/>
          <w:szCs w:val="24"/>
          <w:lang w:val="en-US" w:eastAsia="en-US"/>
        </w:rPr>
        <w:t xml:space="preserve"> on the </w:t>
      </w:r>
      <w:r w:rsidRPr="00E05BFE">
        <w:rPr>
          <w:rFonts w:eastAsia="Times New Roman"/>
          <w:bCs/>
          <w:noProof/>
          <w:snapToGrid w:val="0"/>
          <w:szCs w:val="24"/>
          <w:lang w:val="en-US" w:eastAsia="en-US"/>
        </w:rPr>
        <w:t>CSM</w:t>
      </w:r>
      <w:r w:rsidRPr="00E05BFE">
        <w:rPr>
          <w:rFonts w:eastAsia="Times New Roman"/>
          <w:bCs/>
          <w:snapToGrid w:val="0"/>
          <w:szCs w:val="24"/>
          <w:lang w:val="en-US" w:eastAsia="en-US"/>
        </w:rPr>
        <w:t xml:space="preserve"> method explained in ATC-40,procedure B. </w:t>
      </w:r>
    </w:p>
    <w:p w:rsidR="00E05BFE" w:rsidRPr="00E05BFE" w:rsidRDefault="00E05BFE" w:rsidP="00E05BFE">
      <w:pPr>
        <w:widowControl w:val="0"/>
        <w:spacing w:after="0" w:line="240" w:lineRule="auto"/>
        <w:jc w:val="both"/>
        <w:rPr>
          <w:rFonts w:eastAsia="Times New Roman"/>
          <w:noProof/>
          <w:snapToGrid w:val="0"/>
          <w:szCs w:val="24"/>
          <w:lang w:val="en-US" w:eastAsia="en-US"/>
        </w:rPr>
      </w:pPr>
    </w:p>
    <w:p w:rsidR="00E05BFE" w:rsidRPr="00E05BFE" w:rsidRDefault="00E05BFE" w:rsidP="00E05BFE">
      <w:pPr>
        <w:widowControl w:val="0"/>
        <w:spacing w:after="0" w:line="240" w:lineRule="auto"/>
        <w:jc w:val="both"/>
        <w:rPr>
          <w:rFonts w:eastAsia="Times New Roman"/>
          <w:bCs/>
          <w:snapToGrid w:val="0"/>
          <w:szCs w:val="24"/>
          <w:lang w:val="en-US" w:eastAsia="en-US"/>
        </w:rPr>
      </w:pPr>
      <w:r w:rsidRPr="00E05BFE">
        <w:rPr>
          <w:rFonts w:eastAsia="Times New Roman"/>
          <w:bCs/>
          <w:i/>
          <w:iCs/>
          <w:snapToGrid w:val="0"/>
          <w:szCs w:val="24"/>
          <w:lang w:val="en-US" w:eastAsia="en-US"/>
        </w:rPr>
        <w:t>2.2.2. Nonlinear Time History Analysis (</w:t>
      </w:r>
      <w:r w:rsidRPr="00E05BFE">
        <w:rPr>
          <w:rFonts w:eastAsia="Times New Roman"/>
          <w:bCs/>
          <w:i/>
          <w:iCs/>
          <w:noProof/>
          <w:snapToGrid w:val="0"/>
          <w:szCs w:val="24"/>
          <w:lang w:val="en-US" w:eastAsia="en-US"/>
        </w:rPr>
        <w:t>NTHA</w:t>
      </w:r>
      <w:r w:rsidRPr="00E05BFE">
        <w:rPr>
          <w:rFonts w:eastAsia="Times New Roman"/>
          <w:bCs/>
          <w:snapToGrid w:val="0"/>
          <w:szCs w:val="24"/>
          <w:lang w:val="en-US" w:eastAsia="en-US"/>
        </w:rPr>
        <w:t xml:space="preserve">) </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The benchmark NTHA using Hilber-Hughes-Taylor time integration approach with default parameters (gamma=0.5 and beta=0.25) </w:t>
      </w:r>
      <w:r w:rsidRPr="00E05BFE">
        <w:rPr>
          <w:rFonts w:eastAsia="Times New Roman"/>
          <w:noProof/>
          <w:snapToGrid w:val="0"/>
          <w:szCs w:val="24"/>
          <w:lang w:val="en-US" w:eastAsia="en-US"/>
        </w:rPr>
        <w:t>are selected</w:t>
      </w:r>
      <w:r w:rsidRPr="00E05BFE">
        <w:rPr>
          <w:rFonts w:eastAsia="Times New Roman"/>
          <w:snapToGrid w:val="0"/>
          <w:szCs w:val="24"/>
          <w:lang w:val="en-US" w:eastAsia="en-US"/>
        </w:rPr>
        <w:t xml:space="preserve"> for an analytical simulation purpose. The 5% proportional Rayleigh damping for first and second vibration modes </w:t>
      </w:r>
      <w:r w:rsidRPr="00E05BFE">
        <w:rPr>
          <w:rFonts w:eastAsia="Times New Roman"/>
          <w:noProof/>
          <w:snapToGrid w:val="0"/>
          <w:szCs w:val="24"/>
          <w:lang w:val="en-US" w:eastAsia="en-US"/>
        </w:rPr>
        <w:t>are considered</w:t>
      </w:r>
      <w:r w:rsidRPr="00E05BFE">
        <w:rPr>
          <w:rFonts w:eastAsia="Times New Roman"/>
          <w:snapToGrid w:val="0"/>
          <w:szCs w:val="24"/>
          <w:lang w:val="en-US" w:eastAsia="en-US"/>
        </w:rPr>
        <w:t xml:space="preserve">. The second order P-Δ effect </w:t>
      </w:r>
      <w:r w:rsidRPr="00E05BFE">
        <w:rPr>
          <w:rFonts w:eastAsia="Times New Roman"/>
          <w:noProof/>
          <w:snapToGrid w:val="0"/>
          <w:szCs w:val="24"/>
          <w:lang w:val="en-US" w:eastAsia="en-US"/>
        </w:rPr>
        <w:t>is also considered</w:t>
      </w:r>
      <w:r w:rsidRPr="00E05BFE">
        <w:rPr>
          <w:rFonts w:eastAsia="Times New Roman"/>
          <w:snapToGrid w:val="0"/>
          <w:szCs w:val="24"/>
          <w:lang w:val="en-US" w:eastAsia="en-US"/>
        </w:rPr>
        <w:t xml:space="preserve"> in the analysis. In all, 27 NTHA simulations </w:t>
      </w:r>
      <w:r w:rsidRPr="00E05BFE">
        <w:rPr>
          <w:rFonts w:eastAsia="Times New Roman"/>
          <w:noProof/>
          <w:snapToGrid w:val="0"/>
          <w:szCs w:val="24"/>
          <w:lang w:val="en-US" w:eastAsia="en-US"/>
        </w:rPr>
        <w:t>are executed</w:t>
      </w:r>
      <w:r w:rsidRPr="00E05BFE">
        <w:rPr>
          <w:rFonts w:eastAsia="Times New Roman"/>
          <w:snapToGrid w:val="0"/>
          <w:szCs w:val="24"/>
          <w:lang w:val="en-US" w:eastAsia="en-US"/>
        </w:rPr>
        <w:t xml:space="preserve"> for the </w:t>
      </w:r>
      <w:r w:rsidRPr="00E05BFE">
        <w:rPr>
          <w:rFonts w:eastAsia="Times New Roman"/>
          <w:noProof/>
          <w:snapToGrid w:val="0"/>
          <w:szCs w:val="24"/>
          <w:lang w:val="en-US" w:eastAsia="en-US"/>
        </w:rPr>
        <w:t>analysis</w:t>
      </w:r>
      <w:r w:rsidRPr="00E05BFE">
        <w:rPr>
          <w:rFonts w:eastAsia="Times New Roman"/>
          <w:snapToGrid w:val="0"/>
          <w:szCs w:val="24"/>
          <w:lang w:val="en-US" w:eastAsia="en-US"/>
        </w:rPr>
        <w:t xml:space="preserve"> of the frames.</w:t>
      </w:r>
    </w:p>
    <w:p w:rsidR="00E05BFE" w:rsidRPr="00E05BFE" w:rsidRDefault="00E05BFE" w:rsidP="00E05BFE">
      <w:pPr>
        <w:widowControl w:val="0"/>
        <w:spacing w:after="0" w:line="240" w:lineRule="auto"/>
        <w:jc w:val="both"/>
        <w:rPr>
          <w:rFonts w:eastAsia="Times New Roman"/>
          <w:noProof/>
          <w:snapToGrid w:val="0"/>
          <w:szCs w:val="24"/>
          <w:lang w:val="en-US" w:eastAsia="en-US"/>
        </w:rPr>
      </w:pPr>
    </w:p>
    <w:p w:rsidR="00E05BFE" w:rsidRPr="00E05BFE" w:rsidRDefault="00E05BFE" w:rsidP="00E05BFE">
      <w:pPr>
        <w:widowControl w:val="0"/>
        <w:spacing w:after="0" w:line="240" w:lineRule="auto"/>
        <w:jc w:val="both"/>
        <w:rPr>
          <w:rFonts w:eastAsia="Times New Roman"/>
          <w:noProof/>
          <w:snapToGrid w:val="0"/>
          <w:szCs w:val="24"/>
          <w:lang w:val="en-US" w:eastAsia="en-US"/>
        </w:rPr>
      </w:pPr>
    </w:p>
    <w:p w:rsidR="00E05BFE" w:rsidRPr="00E05BFE" w:rsidRDefault="00E05BFE" w:rsidP="00E05BFE">
      <w:pPr>
        <w:keepNext/>
        <w:widowControl w:val="0"/>
        <w:suppressAutoHyphens/>
        <w:spacing w:after="0" w:line="240" w:lineRule="auto"/>
        <w:ind w:left="270" w:hanging="270"/>
        <w:jc w:val="both"/>
        <w:outlineLvl w:val="0"/>
        <w:rPr>
          <w:rFonts w:eastAsia="Times New Roman"/>
          <w:b/>
          <w:caps/>
          <w:snapToGrid w:val="0"/>
          <w:szCs w:val="24"/>
          <w:lang w:val="en-US" w:eastAsia="en-US"/>
        </w:rPr>
      </w:pPr>
      <w:r w:rsidRPr="00E05BFE">
        <w:rPr>
          <w:rFonts w:eastAsia="Times New Roman"/>
          <w:b/>
          <w:caps/>
          <w:snapToGrid w:val="0"/>
          <w:szCs w:val="24"/>
          <w:lang w:val="en-US" w:eastAsia="en-US"/>
        </w:rPr>
        <w:t>3. NUMERICAL STUDY</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A 5-story mid-rise steel building </w:t>
      </w:r>
      <w:r w:rsidRPr="00E05BFE">
        <w:rPr>
          <w:rFonts w:eastAsia="Times New Roman"/>
          <w:noProof/>
          <w:snapToGrid w:val="0"/>
          <w:szCs w:val="24"/>
          <w:lang w:val="en-US" w:eastAsia="en-US"/>
        </w:rPr>
        <w:t>is considered</w:t>
      </w:r>
      <w:r w:rsidRPr="00E05BFE">
        <w:rPr>
          <w:rFonts w:eastAsia="Times New Roman"/>
          <w:snapToGrid w:val="0"/>
          <w:szCs w:val="24"/>
          <w:lang w:val="en-US" w:eastAsia="en-US"/>
        </w:rPr>
        <w:t xml:space="preserve"> for the </w:t>
      </w:r>
      <w:r w:rsidRPr="00E05BFE">
        <w:rPr>
          <w:rFonts w:eastAsia="Times New Roman"/>
          <w:noProof/>
          <w:snapToGrid w:val="0"/>
          <w:szCs w:val="24"/>
          <w:lang w:val="en-US" w:eastAsia="en-US"/>
        </w:rPr>
        <w:t>numerical</w:t>
      </w:r>
      <w:r w:rsidRPr="00E05BFE">
        <w:rPr>
          <w:rFonts w:eastAsia="Times New Roman"/>
          <w:snapToGrid w:val="0"/>
          <w:szCs w:val="24"/>
          <w:lang w:val="en-US" w:eastAsia="en-US"/>
        </w:rPr>
        <w:t xml:space="preserve"> study. The 5-story building has three bays of 5m each in both directions, </w:t>
      </w:r>
      <w:r w:rsidRPr="00E05BFE">
        <w:rPr>
          <w:rFonts w:eastAsia="Times New Roman"/>
          <w:noProof/>
          <w:snapToGrid w:val="0"/>
          <w:szCs w:val="24"/>
          <w:lang w:val="en-US" w:eastAsia="en-US"/>
        </w:rPr>
        <w:t>and</w:t>
      </w:r>
      <w:r w:rsidRPr="00E05BFE">
        <w:rPr>
          <w:rFonts w:eastAsia="Times New Roman"/>
          <w:snapToGrid w:val="0"/>
          <w:szCs w:val="24"/>
          <w:lang w:val="en-US" w:eastAsia="en-US"/>
        </w:rPr>
        <w:t xml:space="preserve"> each floor has the </w:t>
      </w:r>
      <w:r w:rsidRPr="00E05BFE">
        <w:rPr>
          <w:rFonts w:eastAsia="Times New Roman"/>
          <w:noProof/>
          <w:snapToGrid w:val="0"/>
          <w:szCs w:val="24"/>
          <w:lang w:val="en-US" w:eastAsia="en-US"/>
        </w:rPr>
        <w:t>same</w:t>
      </w:r>
      <w:r w:rsidRPr="00E05BFE">
        <w:rPr>
          <w:rFonts w:eastAsia="Times New Roman"/>
          <w:snapToGrid w:val="0"/>
          <w:szCs w:val="24"/>
          <w:lang w:val="en-US" w:eastAsia="en-US"/>
        </w:rPr>
        <w:t xml:space="preserve"> height of 3.2m. The </w:t>
      </w:r>
      <w:r w:rsidRPr="00E05BFE">
        <w:rPr>
          <w:rFonts w:eastAsia="Times New Roman"/>
          <w:noProof/>
          <w:snapToGrid w:val="0"/>
          <w:szCs w:val="24"/>
          <w:lang w:val="en-US" w:eastAsia="en-US"/>
        </w:rPr>
        <w:t>building</w:t>
      </w:r>
      <w:r w:rsidRPr="00E05BFE">
        <w:rPr>
          <w:rFonts w:eastAsia="Times New Roman"/>
          <w:snapToGrid w:val="0"/>
          <w:szCs w:val="24"/>
          <w:lang w:val="en-US" w:eastAsia="en-US"/>
        </w:rPr>
        <w:t xml:space="preserve"> consists of </w:t>
      </w:r>
      <w:r w:rsidRPr="00E05BFE">
        <w:rPr>
          <w:rFonts w:eastAsia="Times New Roman"/>
          <w:noProof/>
          <w:snapToGrid w:val="0"/>
          <w:szCs w:val="24"/>
          <w:lang w:val="en-US" w:eastAsia="en-US"/>
        </w:rPr>
        <w:t>special</w:t>
      </w:r>
      <w:r w:rsidRPr="00E05BFE">
        <w:rPr>
          <w:rFonts w:eastAsia="Times New Roman"/>
          <w:snapToGrid w:val="0"/>
          <w:szCs w:val="24"/>
          <w:lang w:val="en-US" w:eastAsia="en-US"/>
        </w:rPr>
        <w:t xml:space="preserve"> moment resisting frame (SMRF) with rigid beam-column connections. For the dead load, 150mm thick concrete slab with floor finish and 225mm thick partition walls </w:t>
      </w:r>
      <w:r w:rsidRPr="00E05BFE">
        <w:rPr>
          <w:rFonts w:eastAsia="Times New Roman"/>
          <w:noProof/>
          <w:snapToGrid w:val="0"/>
          <w:szCs w:val="24"/>
          <w:lang w:val="en-US" w:eastAsia="en-US"/>
        </w:rPr>
        <w:t>are considered</w:t>
      </w:r>
      <w:r w:rsidRPr="00E05BFE">
        <w:rPr>
          <w:rFonts w:eastAsia="Times New Roman"/>
          <w:snapToGrid w:val="0"/>
          <w:szCs w:val="24"/>
          <w:lang w:val="en-US" w:eastAsia="en-US"/>
        </w:rPr>
        <w:t xml:space="preserve">. The </w:t>
      </w:r>
      <w:r w:rsidRPr="00E05BFE">
        <w:rPr>
          <w:rFonts w:eastAsia="Times New Roman"/>
          <w:noProof/>
          <w:snapToGrid w:val="0"/>
          <w:szCs w:val="24"/>
          <w:lang w:val="en-US" w:eastAsia="en-US"/>
        </w:rPr>
        <w:t>effective</w:t>
      </w:r>
      <w:r w:rsidRPr="00E05BFE">
        <w:rPr>
          <w:rFonts w:eastAsia="Times New Roman"/>
          <w:snapToGrid w:val="0"/>
          <w:szCs w:val="24"/>
          <w:lang w:val="en-US" w:eastAsia="en-US"/>
        </w:rPr>
        <w:t xml:space="preserve"> uniformly distributed loads on beams are 20KN/m as a floor dead load, 15KN/m as </w:t>
      </w:r>
      <w:r w:rsidRPr="00E05BFE">
        <w:rPr>
          <w:rFonts w:eastAsia="Times New Roman"/>
          <w:noProof/>
          <w:snapToGrid w:val="0"/>
          <w:szCs w:val="24"/>
          <w:lang w:val="en-US" w:eastAsia="en-US"/>
        </w:rPr>
        <w:t>roof dead</w:t>
      </w:r>
      <w:r w:rsidRPr="00E05BFE">
        <w:rPr>
          <w:rFonts w:eastAsia="Times New Roman"/>
          <w:snapToGrid w:val="0"/>
          <w:szCs w:val="24"/>
          <w:lang w:val="en-US" w:eastAsia="en-US"/>
        </w:rPr>
        <w:t xml:space="preserve"> load and the 4KN/m of live </w:t>
      </w:r>
      <w:r w:rsidRPr="00E05BFE">
        <w:rPr>
          <w:rFonts w:eastAsia="Times New Roman"/>
          <w:noProof/>
          <w:snapToGrid w:val="0"/>
          <w:szCs w:val="24"/>
          <w:lang w:val="en-US" w:eastAsia="en-US"/>
        </w:rPr>
        <w:t>load</w:t>
      </w:r>
      <w:r w:rsidRPr="00E05BFE">
        <w:rPr>
          <w:rFonts w:eastAsia="Times New Roman"/>
          <w:snapToGrid w:val="0"/>
          <w:szCs w:val="24"/>
          <w:lang w:val="en-US" w:eastAsia="en-US"/>
        </w:rPr>
        <w:t xml:space="preserve">. The SMRF frame </w:t>
      </w:r>
      <w:r w:rsidRPr="00E05BFE">
        <w:rPr>
          <w:rFonts w:eastAsia="Times New Roman"/>
          <w:noProof/>
          <w:snapToGrid w:val="0"/>
          <w:szCs w:val="24"/>
          <w:lang w:val="en-US" w:eastAsia="en-US"/>
        </w:rPr>
        <w:t>is designed</w:t>
      </w:r>
      <w:r w:rsidRPr="00E05BFE">
        <w:rPr>
          <w:rFonts w:eastAsia="Times New Roman"/>
          <w:snapToGrid w:val="0"/>
          <w:szCs w:val="24"/>
          <w:lang w:val="en-US" w:eastAsia="en-US"/>
        </w:rPr>
        <w:t xml:space="preserve"> as per </w:t>
      </w:r>
      <w:r w:rsidRPr="00E05BFE">
        <w:rPr>
          <w:rFonts w:eastAsia="Times New Roman"/>
          <w:noProof/>
          <w:snapToGrid w:val="0"/>
          <w:szCs w:val="24"/>
          <w:lang w:val="en-US" w:eastAsia="en-US"/>
        </w:rPr>
        <w:t>Indian standard</w:t>
      </w:r>
      <w:r w:rsidRPr="00E05BFE">
        <w:rPr>
          <w:rFonts w:eastAsia="Times New Roman"/>
          <w:snapToGrid w:val="0"/>
          <w:szCs w:val="24"/>
          <w:lang w:val="en-US" w:eastAsia="en-US"/>
        </w:rPr>
        <w:t xml:space="preserve"> provisions </w:t>
      </w:r>
      <w:hyperlink w:anchor="_ENREF_12" w:tooltip="IS-800, 2007 #67" w:history="1">
        <w:r w:rsidRPr="00E05BFE">
          <w:rPr>
            <w:rFonts w:eastAsia="Times New Roman"/>
            <w:snapToGrid w:val="0"/>
            <w:szCs w:val="24"/>
            <w:lang w:val="en-US" w:eastAsia="en-US"/>
          </w:rPr>
          <w:fldChar w:fldCharType="begin"/>
        </w:r>
        <w:r w:rsidRPr="00E05BFE">
          <w:rPr>
            <w:rFonts w:eastAsia="Times New Roman"/>
            <w:snapToGrid w:val="0"/>
            <w:szCs w:val="24"/>
            <w:lang w:val="en-US" w:eastAsia="en-US"/>
          </w:rPr>
          <w:instrText xml:space="preserve"> ADDIN EN.CITE &lt;EndNote&gt;&lt;Cite AuthorYear="1"&gt;&lt;Author&gt;IS-800&lt;/Author&gt;&lt;Year&gt;2007&lt;/Year&gt;&lt;RecNum&gt;67&lt;/RecNum&gt;&lt;DisplayText&gt;IS-800 (2007)&lt;/DisplayText&gt;&lt;record&gt;&lt;rec-number&gt;67&lt;/rec-number&gt;&lt;foreign-keys&gt;&lt;key app="EN" db-id="r2vvdt95az9wv4epvf6xd2dkptr2ddwpz0ps" timestamp="1537799006"&gt;67&lt;/key&gt;&lt;/foreign-keys&gt;&lt;ref-type name="Journal Article"&gt;17&lt;/ref-type&gt;&lt;contributors&gt;&lt;authors&gt;&lt;author&gt;IS-800&lt;/author&gt;&lt;/authors&gt;&lt;/contributors&gt;&lt;titles&gt;&lt;title&gt;IS-800 (2007): General Construction in Steel-Code of Practice &lt;/title&gt;&lt;/titles&gt;&lt;volume&gt;3rd Revision&lt;/volume&gt;&lt;dates&gt;&lt;year&gt;2007&lt;/year&gt;&lt;/dates&gt;&lt;publisher&gt;Beureau of Indian Standards, New Delhi&lt;/publisher&gt;&lt;urls&gt;&lt;/urls&gt;&lt;/record&gt;&lt;/Cite&gt;&lt;/EndNote&gt;</w:instrText>
        </w:r>
        <w:r w:rsidRPr="00E05BFE">
          <w:rPr>
            <w:rFonts w:eastAsia="Times New Roman"/>
            <w:snapToGrid w:val="0"/>
            <w:szCs w:val="24"/>
            <w:lang w:val="en-US" w:eastAsia="en-US"/>
          </w:rPr>
          <w:fldChar w:fldCharType="separate"/>
        </w:r>
        <w:r w:rsidRPr="00E05BFE">
          <w:rPr>
            <w:rFonts w:eastAsia="Times New Roman"/>
            <w:noProof/>
            <w:snapToGrid w:val="0"/>
            <w:szCs w:val="24"/>
            <w:lang w:val="en-US" w:eastAsia="en-US"/>
          </w:rPr>
          <w:t>IS-800 (2007)</w:t>
        </w:r>
        <w:r w:rsidRPr="00E05BFE">
          <w:rPr>
            <w:rFonts w:eastAsia="Times New Roman"/>
            <w:snapToGrid w:val="0"/>
            <w:szCs w:val="24"/>
            <w:lang w:val="en-US" w:eastAsia="en-US"/>
          </w:rPr>
          <w:fldChar w:fldCharType="end"/>
        </w:r>
      </w:hyperlink>
      <w:r w:rsidRPr="00E05BFE">
        <w:rPr>
          <w:rFonts w:eastAsia="Times New Roman"/>
          <w:snapToGrid w:val="0"/>
          <w:szCs w:val="24"/>
          <w:lang w:val="en-US" w:eastAsia="en-US"/>
        </w:rPr>
        <w:t xml:space="preserve">. Thus, section selection </w:t>
      </w:r>
      <w:r w:rsidRPr="00E05BFE">
        <w:rPr>
          <w:rFonts w:eastAsia="Times New Roman"/>
          <w:noProof/>
          <w:snapToGrid w:val="0"/>
          <w:szCs w:val="24"/>
          <w:lang w:val="en-US" w:eastAsia="en-US"/>
        </w:rPr>
        <w:t>followed</w:t>
      </w:r>
      <w:r w:rsidRPr="00E05BFE">
        <w:rPr>
          <w:rFonts w:eastAsia="Times New Roman"/>
          <w:snapToGrid w:val="0"/>
          <w:szCs w:val="24"/>
          <w:lang w:val="en-US" w:eastAsia="en-US"/>
        </w:rPr>
        <w:t xml:space="preserve"> the strong </w:t>
      </w:r>
      <w:r w:rsidRPr="00E05BFE">
        <w:rPr>
          <w:rFonts w:eastAsia="Times New Roman"/>
          <w:noProof/>
          <w:snapToGrid w:val="0"/>
          <w:szCs w:val="24"/>
          <w:lang w:val="en-US" w:eastAsia="en-US"/>
        </w:rPr>
        <w:t>column-weak</w:t>
      </w:r>
      <w:r w:rsidRPr="00E05BFE">
        <w:rPr>
          <w:rFonts w:eastAsia="Times New Roman"/>
          <w:snapToGrid w:val="0"/>
          <w:szCs w:val="24"/>
          <w:lang w:val="en-US" w:eastAsia="en-US"/>
        </w:rPr>
        <w:t xml:space="preserve"> beam (SCWB) design standards and shown in Table 1. As per IS provisions, the ratio of plastic moment capacity of the </w:t>
      </w:r>
      <w:r w:rsidRPr="00E05BFE">
        <w:rPr>
          <w:rFonts w:eastAsia="Times New Roman"/>
          <w:noProof/>
          <w:snapToGrid w:val="0"/>
          <w:szCs w:val="24"/>
          <w:lang w:val="en-US" w:eastAsia="en-US"/>
        </w:rPr>
        <w:t>column</w:t>
      </w:r>
      <w:r w:rsidRPr="00E05BFE">
        <w:rPr>
          <w:rFonts w:eastAsia="Times New Roman"/>
          <w:snapToGrid w:val="0"/>
          <w:szCs w:val="24"/>
          <w:lang w:val="en-US" w:eastAsia="en-US"/>
        </w:rPr>
        <w:t xml:space="preserve"> to the </w:t>
      </w:r>
      <w:r w:rsidRPr="00E05BFE">
        <w:rPr>
          <w:rFonts w:eastAsia="Times New Roman"/>
          <w:noProof/>
          <w:snapToGrid w:val="0"/>
          <w:szCs w:val="24"/>
          <w:lang w:val="en-US" w:eastAsia="en-US"/>
        </w:rPr>
        <w:t>sum</w:t>
      </w:r>
      <w:r w:rsidRPr="00E05BFE">
        <w:rPr>
          <w:rFonts w:eastAsia="Times New Roman"/>
          <w:snapToGrid w:val="0"/>
          <w:szCs w:val="24"/>
          <w:lang w:val="en-US" w:eastAsia="en-US"/>
        </w:rPr>
        <w:t xml:space="preserve"> of the </w:t>
      </w:r>
      <w:r w:rsidRPr="00E05BFE">
        <w:rPr>
          <w:rFonts w:eastAsia="Times New Roman"/>
          <w:noProof/>
          <w:snapToGrid w:val="0"/>
          <w:szCs w:val="24"/>
          <w:lang w:val="en-US" w:eastAsia="en-US"/>
        </w:rPr>
        <w:t>plastic</w:t>
      </w:r>
      <w:r w:rsidRPr="00E05BFE">
        <w:rPr>
          <w:rFonts w:eastAsia="Times New Roman"/>
          <w:snapToGrid w:val="0"/>
          <w:szCs w:val="24"/>
          <w:lang w:val="en-US" w:eastAsia="en-US"/>
        </w:rPr>
        <w:t xml:space="preserve"> moment of the </w:t>
      </w:r>
      <w:r w:rsidRPr="00E05BFE">
        <w:rPr>
          <w:rFonts w:eastAsia="Times New Roman"/>
          <w:noProof/>
          <w:snapToGrid w:val="0"/>
          <w:szCs w:val="24"/>
          <w:lang w:val="en-US" w:eastAsia="en-US"/>
        </w:rPr>
        <w:t>connected</w:t>
      </w:r>
      <w:r w:rsidRPr="00E05BFE">
        <w:rPr>
          <w:rFonts w:eastAsia="Times New Roman"/>
          <w:snapToGrid w:val="0"/>
          <w:szCs w:val="24"/>
          <w:lang w:val="en-US" w:eastAsia="en-US"/>
        </w:rPr>
        <w:t xml:space="preserve"> beam should be </w:t>
      </w:r>
      <w:r w:rsidRPr="00E05BFE">
        <w:rPr>
          <w:rFonts w:eastAsia="Times New Roman"/>
          <w:noProof/>
          <w:snapToGrid w:val="0"/>
          <w:szCs w:val="24"/>
          <w:lang w:val="en-US" w:eastAsia="en-US"/>
        </w:rPr>
        <w:t>higher</w:t>
      </w:r>
      <w:r w:rsidRPr="00E05BFE">
        <w:rPr>
          <w:rFonts w:eastAsia="Times New Roman"/>
          <w:snapToGrid w:val="0"/>
          <w:szCs w:val="24"/>
          <w:lang w:val="en-US" w:eastAsia="en-US"/>
        </w:rPr>
        <w:t xml:space="preserve"> than or equal to 1.2 for SCWB design. </w:t>
      </w: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The rigid SMRF frames are designed for the </w:t>
      </w:r>
      <w:r w:rsidRPr="00E05BFE">
        <w:rPr>
          <w:rFonts w:eastAsia="Times New Roman"/>
          <w:noProof/>
          <w:snapToGrid w:val="0"/>
          <w:szCs w:val="24"/>
          <w:lang w:val="en-US" w:eastAsia="en-US"/>
        </w:rPr>
        <w:t>high</w:t>
      </w:r>
      <w:r w:rsidRPr="00E05BFE">
        <w:rPr>
          <w:rFonts w:eastAsia="Times New Roman"/>
          <w:snapToGrid w:val="0"/>
          <w:szCs w:val="24"/>
          <w:lang w:val="en-US" w:eastAsia="en-US"/>
        </w:rPr>
        <w:t xml:space="preserve"> seismic zone (zone V with zone factor 0.36) with medium soil condition as per the Indian standard seismic design code IS 1893 Part1</w:t>
      </w:r>
      <w:r w:rsidRPr="00E05BFE">
        <w:rPr>
          <w:rFonts w:eastAsia="Times New Roman"/>
          <w:snapToGrid w:val="0"/>
          <w:szCs w:val="24"/>
          <w:lang w:val="en-US" w:eastAsia="en-US"/>
        </w:rPr>
        <w:fldChar w:fldCharType="begin"/>
      </w:r>
      <w:r w:rsidRPr="00E05BFE">
        <w:rPr>
          <w:rFonts w:eastAsia="Times New Roman"/>
          <w:snapToGrid w:val="0"/>
          <w:szCs w:val="24"/>
          <w:lang w:val="en-US" w:eastAsia="en-US"/>
        </w:rPr>
        <w:instrText xml:space="preserve"> ADDIN EN.CITE &lt;EndNote&gt;&lt;Cite ExcludeAuth="1"&gt;&lt;Year&gt;2016&lt;/Year&gt;&lt;RecNum&gt;9&lt;/RecNum&gt;&lt;DisplayText&gt;(2016)&lt;/DisplayText&gt;&lt;record&gt;&lt;rec-number&gt;9&lt;/rec-number&gt;&lt;foreign-keys&gt;&lt;key app="EN" db-id="r2vvdt95az9wv4epvf6xd2dkptr2ddwpz0ps" timestamp="1530032954"&gt;9&lt;/key&gt;&lt;/foreign-keys&gt;&lt;ref-type name="Journal Article"&gt;17&lt;/ref-type&gt;&lt;contributors&gt;&lt;authors&gt;&lt;author&gt;IS&lt;/author&gt;&lt;/authors&gt;&lt;/contributors&gt;&lt;auth-address&gt;Standard, Indian &lt;/auth-address&gt;&lt;titles&gt;&lt;title&gt;IS 1893: 2016 Criteria for earthquake resistant design of structures&lt;/title&gt;&lt;secondary-title&gt;Part 1 General Provisions and Buildings (Sixth Revision).&lt;/secondary-title&gt;&lt;short-title&gt;IS 1893(Part1):2016&lt;/short-title&gt;&lt;/titles&gt;&lt;dates&gt;&lt;year&gt;2016&lt;/year&gt;&lt;/dates&gt;&lt;publisher&gt;Bureau of Indian Standards&lt;/publisher&gt;&lt;urls&gt;&lt;/urls&gt;&lt;/record&gt;&lt;/Cite&gt;&lt;/EndNote&gt;</w:instrText>
      </w:r>
      <w:r w:rsidRPr="00E05BFE">
        <w:rPr>
          <w:rFonts w:eastAsia="Times New Roman"/>
          <w:snapToGrid w:val="0"/>
          <w:szCs w:val="24"/>
          <w:lang w:val="en-US" w:eastAsia="en-US"/>
        </w:rPr>
        <w:fldChar w:fldCharType="separate"/>
      </w:r>
      <w:r w:rsidRPr="00E05BFE">
        <w:rPr>
          <w:rFonts w:eastAsia="Times New Roman"/>
          <w:noProof/>
          <w:snapToGrid w:val="0"/>
          <w:szCs w:val="24"/>
          <w:lang w:val="en-US" w:eastAsia="en-US"/>
        </w:rPr>
        <w:t>(</w:t>
      </w:r>
      <w:hyperlink w:anchor="_ENREF_13" w:tooltip="IS, 2016 #9" w:history="1">
        <w:r w:rsidRPr="00E05BFE">
          <w:rPr>
            <w:rFonts w:eastAsia="Times New Roman"/>
            <w:noProof/>
            <w:snapToGrid w:val="0"/>
            <w:szCs w:val="24"/>
            <w:lang w:val="en-US" w:eastAsia="en-US"/>
          </w:rPr>
          <w:t>2016</w:t>
        </w:r>
      </w:hyperlink>
      <w:r w:rsidRPr="00E05BFE">
        <w:rPr>
          <w:rFonts w:eastAsia="Times New Roman"/>
          <w:noProof/>
          <w:snapToGrid w:val="0"/>
          <w:szCs w:val="24"/>
          <w:lang w:val="en-US" w:eastAsia="en-US"/>
        </w:rPr>
        <w:t>)</w:t>
      </w:r>
      <w:r w:rsidRPr="00E05BFE">
        <w:rPr>
          <w:rFonts w:eastAsia="Times New Roman"/>
          <w:snapToGrid w:val="0"/>
          <w:szCs w:val="24"/>
          <w:lang w:val="en-US" w:eastAsia="en-US"/>
        </w:rPr>
        <w:fldChar w:fldCharType="end"/>
      </w:r>
      <w:r w:rsidRPr="00E05BFE">
        <w:rPr>
          <w:rFonts w:eastAsia="Times New Roman"/>
          <w:snapToGrid w:val="0"/>
          <w:szCs w:val="24"/>
          <w:lang w:val="en-US" w:eastAsia="en-US"/>
        </w:rPr>
        <w:t xml:space="preserve">. Three different types of ground motions </w:t>
      </w:r>
      <w:r w:rsidRPr="00E05BFE">
        <w:rPr>
          <w:rFonts w:eastAsia="Times New Roman"/>
          <w:noProof/>
          <w:snapToGrid w:val="0"/>
          <w:szCs w:val="24"/>
          <w:lang w:val="en-US" w:eastAsia="en-US"/>
        </w:rPr>
        <w:t>are considered</w:t>
      </w:r>
      <w:r w:rsidRPr="00E05BFE">
        <w:rPr>
          <w:rFonts w:eastAsia="Times New Roman"/>
          <w:snapToGrid w:val="0"/>
          <w:szCs w:val="24"/>
          <w:lang w:val="en-US" w:eastAsia="en-US"/>
        </w:rPr>
        <w:t xml:space="preserve"> with the three scaled PGA levels corresponding to three different performance states, namely, 0.3g for elastic, 0.5g for elastic-plastic and 0.7g for the </w:t>
      </w:r>
      <w:r w:rsidRPr="00E05BFE">
        <w:rPr>
          <w:rFonts w:eastAsia="Times New Roman"/>
          <w:noProof/>
          <w:snapToGrid w:val="0"/>
          <w:szCs w:val="24"/>
          <w:lang w:val="en-US" w:eastAsia="en-US"/>
        </w:rPr>
        <w:t>plastic</w:t>
      </w:r>
      <w:r w:rsidRPr="00E05BFE">
        <w:rPr>
          <w:rFonts w:eastAsia="Times New Roman"/>
          <w:snapToGrid w:val="0"/>
          <w:szCs w:val="24"/>
          <w:lang w:val="en-US" w:eastAsia="en-US"/>
        </w:rPr>
        <w:t xml:space="preserve"> state. The ground motions considered are (i) Far-field earthquakes (FF), </w:t>
      </w:r>
      <w:r w:rsidRPr="00E05BFE">
        <w:rPr>
          <w:rFonts w:eastAsia="Times New Roman"/>
          <w:noProof/>
          <w:snapToGrid w:val="0"/>
          <w:szCs w:val="24"/>
          <w:lang w:val="en-US" w:eastAsia="en-US"/>
        </w:rPr>
        <w:t>San Fernando</w:t>
      </w:r>
      <w:r w:rsidRPr="00E05BFE">
        <w:rPr>
          <w:rFonts w:eastAsia="Times New Roman"/>
          <w:snapToGrid w:val="0"/>
          <w:szCs w:val="24"/>
          <w:lang w:val="en-US" w:eastAsia="en-US"/>
        </w:rPr>
        <w:t>-1971 (PGA 0.21g and magnitude 6.6 M</w:t>
      </w:r>
      <w:r w:rsidRPr="00E05BFE">
        <w:rPr>
          <w:rFonts w:eastAsia="Times New Roman"/>
          <w:snapToGrid w:val="0"/>
          <w:szCs w:val="24"/>
          <w:vertAlign w:val="subscript"/>
          <w:lang w:val="en-US" w:eastAsia="en-US"/>
        </w:rPr>
        <w:t>w</w:t>
      </w:r>
      <w:r w:rsidRPr="00E05BFE">
        <w:rPr>
          <w:rFonts w:eastAsia="Times New Roman"/>
          <w:snapToGrid w:val="0"/>
          <w:szCs w:val="24"/>
          <w:lang w:val="en-US" w:eastAsia="en-US"/>
        </w:rPr>
        <w:t>); (ii) Near-field with directivity (NFD) pulses, Erzincan-1992 (PGA 0.5g and 6.7 M</w:t>
      </w:r>
      <w:r w:rsidRPr="00E05BFE">
        <w:rPr>
          <w:rFonts w:eastAsia="Times New Roman"/>
          <w:snapToGrid w:val="0"/>
          <w:szCs w:val="24"/>
          <w:vertAlign w:val="subscript"/>
          <w:lang w:val="en-US" w:eastAsia="en-US"/>
        </w:rPr>
        <w:t>w</w:t>
      </w:r>
      <w:r w:rsidRPr="00E05BFE">
        <w:rPr>
          <w:rFonts w:eastAsia="Times New Roman"/>
          <w:snapToGrid w:val="0"/>
          <w:szCs w:val="24"/>
          <w:lang w:val="en-US" w:eastAsia="en-US"/>
        </w:rPr>
        <w:t>), and (iii) Near-field with fling step (NFF), Chi-Chi TCU072-EW-1999 (PGA 0.46g and 7.6 Mw) selected for the seismic performance evaluation.</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center"/>
        <w:rPr>
          <w:rFonts w:eastAsia="Times New Roman"/>
          <w:snapToGrid w:val="0"/>
          <w:sz w:val="20"/>
          <w:szCs w:val="24"/>
          <w:lang w:val="en-US" w:eastAsia="en-US"/>
        </w:rPr>
      </w:pPr>
      <w:r w:rsidRPr="00E05BFE">
        <w:rPr>
          <w:rFonts w:eastAsia="Times New Roman"/>
          <w:snapToGrid w:val="0"/>
          <w:sz w:val="20"/>
          <w:szCs w:val="24"/>
          <w:lang w:val="en-US" w:eastAsia="en-US"/>
        </w:rPr>
        <w:t>Table 1.  Detailing Of 5-Story Steel Moment Resisting Frame</w:t>
      </w:r>
    </w:p>
    <w:p w:rsidR="00E05BFE" w:rsidRPr="00E05BFE" w:rsidRDefault="00E05BFE" w:rsidP="00E05BFE">
      <w:pPr>
        <w:widowControl w:val="0"/>
        <w:spacing w:after="0" w:line="240" w:lineRule="auto"/>
        <w:jc w:val="both"/>
        <w:rPr>
          <w:rFonts w:eastAsia="Times New Roman"/>
          <w:snapToGrid w:val="0"/>
          <w:sz w:val="20"/>
          <w:szCs w:val="24"/>
          <w:lang w:val="en-US" w:eastAsia="en-US"/>
        </w:rPr>
      </w:pPr>
    </w:p>
    <w:tbl>
      <w:tblPr>
        <w:tblW w:w="5000" w:type="pct"/>
        <w:tblBorders>
          <w:top w:val="single" w:sz="4" w:space="0" w:color="auto"/>
          <w:bottom w:val="single" w:sz="4" w:space="0" w:color="auto"/>
          <w:insideH w:val="single" w:sz="4" w:space="0" w:color="auto"/>
        </w:tblBorders>
        <w:tblCellMar>
          <w:top w:w="28" w:type="dxa"/>
          <w:left w:w="28" w:type="dxa"/>
          <w:bottom w:w="28" w:type="dxa"/>
          <w:right w:w="28" w:type="dxa"/>
        </w:tblCellMar>
        <w:tblLook w:val="04A0" w:firstRow="1" w:lastRow="0" w:firstColumn="1" w:lastColumn="0" w:noHBand="0" w:noVBand="1"/>
      </w:tblPr>
      <w:tblGrid>
        <w:gridCol w:w="938"/>
        <w:gridCol w:w="1512"/>
        <w:gridCol w:w="1512"/>
        <w:gridCol w:w="1212"/>
        <w:gridCol w:w="950"/>
        <w:gridCol w:w="1340"/>
        <w:gridCol w:w="1390"/>
        <w:gridCol w:w="840"/>
      </w:tblGrid>
      <w:tr w:rsidR="00E05BFE" w:rsidRPr="00E05BFE" w:rsidTr="00B97EDB">
        <w:trPr>
          <w:trHeight w:val="20"/>
        </w:trPr>
        <w:tc>
          <w:tcPr>
            <w:tcW w:w="484"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snapToGrid w:val="0"/>
                <w:szCs w:val="20"/>
                <w:lang w:val="en-US" w:eastAsia="en-US"/>
              </w:rPr>
            </w:pPr>
            <w:r w:rsidRPr="00E05BFE">
              <w:rPr>
                <w:rFonts w:eastAsia="Times New Roman"/>
                <w:b/>
                <w:snapToGrid w:val="0"/>
                <w:szCs w:val="20"/>
                <w:lang w:val="en-US" w:eastAsia="en-US"/>
              </w:rPr>
              <w:t>Storey/</w:t>
            </w:r>
            <w:r w:rsidRPr="00E05BFE">
              <w:rPr>
                <w:rFonts w:eastAsia="Times New Roman"/>
                <w:b/>
                <w:snapToGrid w:val="0"/>
                <w:szCs w:val="20"/>
                <w:lang w:val="en-US" w:eastAsia="en-US"/>
              </w:rPr>
              <w:br/>
              <w:t>Floor</w:t>
            </w:r>
          </w:p>
        </w:tc>
        <w:tc>
          <w:tcPr>
            <w:tcW w:w="780"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snapToGrid w:val="0"/>
                <w:szCs w:val="20"/>
                <w:lang w:val="en-US" w:eastAsia="en-US"/>
              </w:rPr>
            </w:pPr>
            <w:r w:rsidRPr="00E05BFE">
              <w:rPr>
                <w:rFonts w:eastAsia="Times New Roman"/>
                <w:b/>
                <w:snapToGrid w:val="0"/>
                <w:szCs w:val="20"/>
                <w:lang w:val="en-US" w:eastAsia="en-US"/>
              </w:rPr>
              <w:t>Beam Section</w:t>
            </w:r>
          </w:p>
        </w:tc>
        <w:tc>
          <w:tcPr>
            <w:tcW w:w="780"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snapToGrid w:val="0"/>
                <w:szCs w:val="20"/>
                <w:lang w:val="en-US" w:eastAsia="en-US"/>
              </w:rPr>
            </w:pPr>
            <w:r w:rsidRPr="00E05BFE">
              <w:rPr>
                <w:rFonts w:eastAsia="Times New Roman"/>
                <w:b/>
                <w:snapToGrid w:val="0"/>
                <w:szCs w:val="20"/>
                <w:lang w:val="en-US" w:eastAsia="en-US"/>
              </w:rPr>
              <w:t>Column Section</w:t>
            </w:r>
          </w:p>
        </w:tc>
        <w:tc>
          <w:tcPr>
            <w:tcW w:w="625"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snapToGrid w:val="0"/>
                <w:szCs w:val="20"/>
                <w:lang w:val="en-US" w:eastAsia="en-US"/>
              </w:rPr>
            </w:pPr>
            <w:r w:rsidRPr="00E05BFE">
              <w:rPr>
                <w:rFonts w:eastAsia="Times New Roman"/>
                <w:b/>
                <w:snapToGrid w:val="0"/>
                <w:szCs w:val="20"/>
                <w:lang w:val="en-US" w:eastAsia="en-US"/>
              </w:rPr>
              <w:t>Storey Height</w:t>
            </w:r>
          </w:p>
        </w:tc>
        <w:tc>
          <w:tcPr>
            <w:tcW w:w="490"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snapToGrid w:val="0"/>
                <w:szCs w:val="20"/>
                <w:lang w:val="en-US" w:eastAsia="en-US"/>
              </w:rPr>
            </w:pPr>
            <w:r w:rsidRPr="00E05BFE">
              <w:rPr>
                <w:rFonts w:eastAsia="Times New Roman"/>
                <w:b/>
                <w:snapToGrid w:val="0"/>
                <w:szCs w:val="20"/>
                <w:lang w:val="en-US" w:eastAsia="en-US"/>
              </w:rPr>
              <w:t xml:space="preserve">Bay Width </w:t>
            </w:r>
          </w:p>
        </w:tc>
        <w:tc>
          <w:tcPr>
            <w:tcW w:w="691"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snapToGrid w:val="0"/>
                <w:szCs w:val="20"/>
                <w:lang w:val="en-US" w:eastAsia="en-US"/>
              </w:rPr>
            </w:pPr>
            <w:r w:rsidRPr="00E05BFE">
              <w:rPr>
                <w:rFonts w:eastAsia="Times New Roman"/>
                <w:b/>
                <w:snapToGrid w:val="0"/>
                <w:szCs w:val="20"/>
                <w:lang w:val="en-US" w:eastAsia="en-US"/>
              </w:rPr>
              <w:t>Steel f</w:t>
            </w:r>
            <w:r w:rsidRPr="00E05BFE">
              <w:rPr>
                <w:rFonts w:eastAsia="Times New Roman"/>
                <w:b/>
                <w:snapToGrid w:val="0"/>
                <w:szCs w:val="20"/>
                <w:vertAlign w:val="subscript"/>
                <w:lang w:val="en-US" w:eastAsia="en-US"/>
              </w:rPr>
              <w:t>y</w:t>
            </w:r>
            <w:r w:rsidRPr="00E05BFE">
              <w:rPr>
                <w:rFonts w:eastAsia="Times New Roman"/>
                <w:b/>
                <w:snapToGrid w:val="0"/>
                <w:szCs w:val="20"/>
                <w:lang w:val="en-US" w:eastAsia="en-US"/>
              </w:rPr>
              <w:t xml:space="preserve"> (N/mm</w:t>
            </w:r>
            <w:r w:rsidRPr="00E05BFE">
              <w:rPr>
                <w:rFonts w:eastAsia="Times New Roman"/>
                <w:b/>
                <w:snapToGrid w:val="0"/>
                <w:szCs w:val="20"/>
                <w:vertAlign w:val="superscript"/>
                <w:lang w:val="en-US" w:eastAsia="en-US"/>
              </w:rPr>
              <w:t>2</w:t>
            </w:r>
            <w:r w:rsidRPr="00E05BFE">
              <w:rPr>
                <w:rFonts w:eastAsia="Times New Roman"/>
                <w:b/>
                <w:snapToGrid w:val="0"/>
                <w:szCs w:val="20"/>
                <w:lang w:val="en-US" w:eastAsia="en-US"/>
              </w:rPr>
              <w:t>)</w:t>
            </w:r>
          </w:p>
        </w:tc>
        <w:tc>
          <w:tcPr>
            <w:tcW w:w="717"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snapToGrid w:val="0"/>
                <w:szCs w:val="20"/>
                <w:lang w:val="en-US" w:eastAsia="en-US"/>
              </w:rPr>
            </w:pPr>
            <w:r w:rsidRPr="00E05BFE">
              <w:rPr>
                <w:rFonts w:eastAsia="Times New Roman"/>
                <w:b/>
                <w:snapToGrid w:val="0"/>
                <w:szCs w:val="20"/>
                <w:lang w:val="en-US" w:eastAsia="en-US"/>
              </w:rPr>
              <w:t>Modulus of Elasticity E</w:t>
            </w:r>
            <w:r w:rsidRPr="00E05BFE">
              <w:rPr>
                <w:rFonts w:eastAsia="Times New Roman"/>
                <w:b/>
                <w:snapToGrid w:val="0"/>
                <w:szCs w:val="20"/>
                <w:lang w:val="en-US" w:eastAsia="en-US"/>
              </w:rPr>
              <w:br/>
              <w:t xml:space="preserve"> ( N/mm</w:t>
            </w:r>
            <w:r w:rsidRPr="00E05BFE">
              <w:rPr>
                <w:rFonts w:eastAsia="Times New Roman"/>
                <w:b/>
                <w:snapToGrid w:val="0"/>
                <w:szCs w:val="20"/>
                <w:vertAlign w:val="superscript"/>
                <w:lang w:val="en-US" w:eastAsia="en-US"/>
              </w:rPr>
              <w:t>2</w:t>
            </w:r>
            <w:r w:rsidRPr="00E05BFE">
              <w:rPr>
                <w:rFonts w:eastAsia="Times New Roman"/>
                <w:b/>
                <w:snapToGrid w:val="0"/>
                <w:szCs w:val="20"/>
                <w:lang w:val="en-US" w:eastAsia="en-US"/>
              </w:rPr>
              <w:t>)</w:t>
            </w:r>
          </w:p>
        </w:tc>
        <w:tc>
          <w:tcPr>
            <w:tcW w:w="433"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snapToGrid w:val="0"/>
                <w:szCs w:val="20"/>
                <w:lang w:val="en-US" w:eastAsia="en-US"/>
              </w:rPr>
            </w:pPr>
            <w:r w:rsidRPr="00E05BFE">
              <w:rPr>
                <w:rFonts w:eastAsia="Times New Roman"/>
                <w:b/>
                <w:snapToGrid w:val="0"/>
                <w:szCs w:val="20"/>
                <w:lang w:val="en-US" w:eastAsia="en-US"/>
              </w:rPr>
              <w:t>Poisson ratio</w:t>
            </w:r>
          </w:p>
        </w:tc>
      </w:tr>
      <w:tr w:rsidR="00E05BFE" w:rsidRPr="00E05BFE" w:rsidTr="00B97EDB">
        <w:trPr>
          <w:cantSplit/>
          <w:trHeight w:val="284"/>
        </w:trPr>
        <w:tc>
          <w:tcPr>
            <w:tcW w:w="484"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1</w:t>
            </w:r>
            <w:r w:rsidRPr="00E05BFE">
              <w:rPr>
                <w:rFonts w:eastAsia="Times New Roman"/>
                <w:snapToGrid w:val="0"/>
                <w:szCs w:val="20"/>
                <w:vertAlign w:val="superscript"/>
                <w:lang w:val="en-US" w:eastAsia="en-US"/>
              </w:rPr>
              <w:t>st</w:t>
            </w:r>
          </w:p>
        </w:tc>
        <w:tc>
          <w:tcPr>
            <w:tcW w:w="780" w:type="pct"/>
            <w:tcBorders>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ISMB 300</w:t>
            </w:r>
          </w:p>
        </w:tc>
        <w:tc>
          <w:tcPr>
            <w:tcW w:w="780" w:type="pct"/>
            <w:tcBorders>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ISHB 450</w:t>
            </w:r>
          </w:p>
        </w:tc>
        <w:tc>
          <w:tcPr>
            <w:tcW w:w="625" w:type="pct"/>
            <w:tcBorders>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3.2 m</w:t>
            </w:r>
          </w:p>
        </w:tc>
        <w:tc>
          <w:tcPr>
            <w:tcW w:w="490" w:type="pct"/>
            <w:tcBorders>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5 m</w:t>
            </w:r>
          </w:p>
        </w:tc>
        <w:tc>
          <w:tcPr>
            <w:tcW w:w="691" w:type="pct"/>
            <w:tcBorders>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250</w:t>
            </w:r>
          </w:p>
        </w:tc>
        <w:tc>
          <w:tcPr>
            <w:tcW w:w="717" w:type="pct"/>
            <w:tcBorders>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2.10E+05</w:t>
            </w:r>
          </w:p>
        </w:tc>
        <w:tc>
          <w:tcPr>
            <w:tcW w:w="433" w:type="pct"/>
            <w:tcBorders>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0.3</w:t>
            </w:r>
          </w:p>
        </w:tc>
      </w:tr>
      <w:tr w:rsidR="00E05BFE" w:rsidRPr="00E05BFE" w:rsidTr="00B97EDB">
        <w:trPr>
          <w:cantSplit/>
          <w:trHeight w:val="284"/>
        </w:trPr>
        <w:tc>
          <w:tcPr>
            <w:tcW w:w="484"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2</w:t>
            </w:r>
            <w:r w:rsidRPr="00E05BFE">
              <w:rPr>
                <w:rFonts w:eastAsia="Times New Roman"/>
                <w:snapToGrid w:val="0"/>
                <w:szCs w:val="20"/>
                <w:vertAlign w:val="superscript"/>
                <w:lang w:val="en-US" w:eastAsia="en-US"/>
              </w:rPr>
              <w:t>nd</w:t>
            </w:r>
          </w:p>
        </w:tc>
        <w:tc>
          <w:tcPr>
            <w:tcW w:w="780" w:type="pct"/>
            <w:tcBorders>
              <w:top w:val="nil"/>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ISMB 300</w:t>
            </w:r>
          </w:p>
        </w:tc>
        <w:tc>
          <w:tcPr>
            <w:tcW w:w="780" w:type="pct"/>
            <w:tcBorders>
              <w:top w:val="nil"/>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ISHB 400</w:t>
            </w:r>
          </w:p>
        </w:tc>
        <w:tc>
          <w:tcPr>
            <w:tcW w:w="625" w:type="pct"/>
            <w:tcBorders>
              <w:top w:val="nil"/>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3.2 m</w:t>
            </w:r>
          </w:p>
        </w:tc>
        <w:tc>
          <w:tcPr>
            <w:tcW w:w="490" w:type="pct"/>
            <w:tcBorders>
              <w:top w:val="nil"/>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5 m</w:t>
            </w:r>
          </w:p>
        </w:tc>
        <w:tc>
          <w:tcPr>
            <w:tcW w:w="691" w:type="pct"/>
            <w:tcBorders>
              <w:top w:val="nil"/>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250</w:t>
            </w:r>
          </w:p>
        </w:tc>
        <w:tc>
          <w:tcPr>
            <w:tcW w:w="717" w:type="pct"/>
            <w:tcBorders>
              <w:top w:val="nil"/>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2.10E+05</w:t>
            </w:r>
          </w:p>
        </w:tc>
        <w:tc>
          <w:tcPr>
            <w:tcW w:w="433" w:type="pct"/>
            <w:tcBorders>
              <w:top w:val="nil"/>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0.3</w:t>
            </w:r>
          </w:p>
        </w:tc>
      </w:tr>
      <w:tr w:rsidR="00E05BFE" w:rsidRPr="00E05BFE" w:rsidTr="00B97EDB">
        <w:trPr>
          <w:cantSplit/>
          <w:trHeight w:val="284"/>
        </w:trPr>
        <w:tc>
          <w:tcPr>
            <w:tcW w:w="484" w:type="pct"/>
            <w:tcBorders>
              <w:top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3</w:t>
            </w:r>
            <w:r w:rsidRPr="00E05BFE">
              <w:rPr>
                <w:rFonts w:eastAsia="Times New Roman"/>
                <w:snapToGrid w:val="0"/>
                <w:szCs w:val="20"/>
                <w:vertAlign w:val="superscript"/>
                <w:lang w:val="en-US" w:eastAsia="en-US"/>
              </w:rPr>
              <w:t>rd</w:t>
            </w:r>
            <w:r w:rsidRPr="00E05BFE">
              <w:rPr>
                <w:rFonts w:eastAsia="Times New Roman"/>
                <w:snapToGrid w:val="0"/>
                <w:szCs w:val="20"/>
                <w:lang w:val="en-US" w:eastAsia="en-US"/>
              </w:rPr>
              <w:t>- 5</w:t>
            </w:r>
            <w:r w:rsidRPr="00E05BFE">
              <w:rPr>
                <w:rFonts w:eastAsia="Times New Roman"/>
                <w:snapToGrid w:val="0"/>
                <w:szCs w:val="20"/>
                <w:vertAlign w:val="superscript"/>
                <w:lang w:val="en-US" w:eastAsia="en-US"/>
              </w:rPr>
              <w:t>th</w:t>
            </w:r>
          </w:p>
        </w:tc>
        <w:tc>
          <w:tcPr>
            <w:tcW w:w="780" w:type="pct"/>
            <w:tcBorders>
              <w:top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ISMB 300</w:t>
            </w:r>
          </w:p>
        </w:tc>
        <w:tc>
          <w:tcPr>
            <w:tcW w:w="780" w:type="pct"/>
            <w:tcBorders>
              <w:top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ISHB 350</w:t>
            </w:r>
          </w:p>
        </w:tc>
        <w:tc>
          <w:tcPr>
            <w:tcW w:w="625" w:type="pct"/>
            <w:tcBorders>
              <w:top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3.2 m</w:t>
            </w:r>
          </w:p>
        </w:tc>
        <w:tc>
          <w:tcPr>
            <w:tcW w:w="490" w:type="pct"/>
            <w:tcBorders>
              <w:top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5 m</w:t>
            </w:r>
          </w:p>
        </w:tc>
        <w:tc>
          <w:tcPr>
            <w:tcW w:w="691" w:type="pct"/>
            <w:tcBorders>
              <w:top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250</w:t>
            </w:r>
          </w:p>
        </w:tc>
        <w:tc>
          <w:tcPr>
            <w:tcW w:w="717" w:type="pct"/>
            <w:tcBorders>
              <w:top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2.10E+05</w:t>
            </w:r>
          </w:p>
        </w:tc>
        <w:tc>
          <w:tcPr>
            <w:tcW w:w="433" w:type="pct"/>
            <w:tcBorders>
              <w:top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szCs w:val="20"/>
                <w:lang w:val="en-US" w:eastAsia="en-US"/>
              </w:rPr>
            </w:pPr>
            <w:r w:rsidRPr="00E05BFE">
              <w:rPr>
                <w:rFonts w:eastAsia="Times New Roman"/>
                <w:snapToGrid w:val="0"/>
                <w:szCs w:val="20"/>
                <w:lang w:val="en-US" w:eastAsia="en-US"/>
              </w:rPr>
              <w:t>0.3</w:t>
            </w:r>
          </w:p>
        </w:tc>
      </w:tr>
    </w:tbl>
    <w:p w:rsidR="00E05BFE" w:rsidRPr="00E05BFE" w:rsidRDefault="00E05BFE" w:rsidP="00E05BFE">
      <w:pPr>
        <w:widowControl w:val="0"/>
        <w:spacing w:after="0" w:line="240" w:lineRule="auto"/>
        <w:jc w:val="center"/>
        <w:rPr>
          <w:rFonts w:eastAsia="Times New Roman"/>
          <w:snapToGrid w:val="0"/>
          <w:sz w:val="2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noProof/>
          <w:snapToGrid w:val="0"/>
          <w:szCs w:val="24"/>
          <w:lang w:val="en-US" w:eastAsia="en-US"/>
        </w:rPr>
        <w:t>Further, a typical internal SMRF is selected for the numerical study. Two types of beam-column connection are used, namely, fully rigid (FRC) and semi-rigid (SR) connections for seismic performance evaluation.</w:t>
      </w:r>
      <w:r w:rsidRPr="00E05BFE">
        <w:rPr>
          <w:rFonts w:eastAsia="Times New Roman"/>
          <w:snapToGrid w:val="0"/>
          <w:szCs w:val="24"/>
          <w:lang w:val="en-US" w:eastAsia="en-US"/>
        </w:rPr>
        <w:t xml:space="preserve"> The semi-rigidity in the beam-column connections </w:t>
      </w:r>
      <w:r w:rsidRPr="00E05BFE">
        <w:rPr>
          <w:rFonts w:eastAsia="Times New Roman"/>
          <w:noProof/>
          <w:snapToGrid w:val="0"/>
          <w:szCs w:val="24"/>
          <w:lang w:val="en-US" w:eastAsia="en-US"/>
        </w:rPr>
        <w:t>is defined</w:t>
      </w:r>
      <w:r w:rsidRPr="00E05BFE">
        <w:rPr>
          <w:rFonts w:eastAsia="Times New Roman"/>
          <w:snapToGrid w:val="0"/>
          <w:szCs w:val="24"/>
          <w:lang w:val="en-US" w:eastAsia="en-US"/>
        </w:rPr>
        <w:t xml:space="preserve"> by the two dimensionless </w:t>
      </w:r>
      <w:r w:rsidRPr="00E05BFE">
        <w:rPr>
          <w:rFonts w:eastAsia="Times New Roman"/>
          <w:noProof/>
          <w:snapToGrid w:val="0"/>
          <w:szCs w:val="24"/>
          <w:lang w:val="en-US" w:eastAsia="en-US"/>
        </w:rPr>
        <w:t>parameters</w:t>
      </w:r>
      <w:r w:rsidRPr="00E05BFE">
        <w:rPr>
          <w:rFonts w:eastAsia="Times New Roman"/>
          <w:snapToGrid w:val="0"/>
          <w:szCs w:val="24"/>
          <w:lang w:val="en-US" w:eastAsia="en-US"/>
        </w:rPr>
        <w:t xml:space="preserve">, i.e., stiffness (α) and strength (β) parameters. The semi-rigid frames </w:t>
      </w:r>
      <w:r w:rsidRPr="00E05BFE">
        <w:rPr>
          <w:rFonts w:eastAsia="Times New Roman"/>
          <w:noProof/>
          <w:snapToGrid w:val="0"/>
          <w:szCs w:val="24"/>
          <w:lang w:val="en-US" w:eastAsia="en-US"/>
        </w:rPr>
        <w:t>are designated</w:t>
      </w:r>
      <w:r w:rsidRPr="00E05BFE">
        <w:rPr>
          <w:rFonts w:eastAsia="Times New Roman"/>
          <w:snapToGrid w:val="0"/>
          <w:szCs w:val="24"/>
          <w:lang w:val="en-US" w:eastAsia="en-US"/>
        </w:rPr>
        <w:t xml:space="preserve"> as ‘SR-1_5S’ with parameters (α=10 and β=1.5) and ‘SR-2_5S’ with parameters (α=22 and β=1.5), </w:t>
      </w:r>
      <w:r w:rsidRPr="00E05BFE">
        <w:rPr>
          <w:rFonts w:eastAsia="Times New Roman"/>
          <w:noProof/>
          <w:snapToGrid w:val="0"/>
          <w:szCs w:val="24"/>
          <w:lang w:val="en-US" w:eastAsia="en-US"/>
        </w:rPr>
        <w:t>and</w:t>
      </w:r>
      <w:r w:rsidRPr="00E05BFE">
        <w:rPr>
          <w:rFonts w:eastAsia="Times New Roman"/>
          <w:snapToGrid w:val="0"/>
          <w:szCs w:val="24"/>
          <w:lang w:val="en-US" w:eastAsia="en-US"/>
        </w:rPr>
        <w:t xml:space="preserve"> the results </w:t>
      </w:r>
      <w:r w:rsidRPr="00E05BFE">
        <w:rPr>
          <w:rFonts w:eastAsia="Times New Roman"/>
          <w:noProof/>
          <w:snapToGrid w:val="0"/>
          <w:szCs w:val="24"/>
          <w:lang w:val="en-US" w:eastAsia="en-US"/>
        </w:rPr>
        <w:t xml:space="preserve">are compared </w:t>
      </w:r>
      <w:r w:rsidRPr="00E05BFE">
        <w:rPr>
          <w:rFonts w:eastAsia="Times New Roman"/>
          <w:snapToGrid w:val="0"/>
          <w:szCs w:val="24"/>
          <w:lang w:val="en-US" w:eastAsia="en-US"/>
        </w:rPr>
        <w:t xml:space="preserve">to the </w:t>
      </w:r>
      <w:r w:rsidRPr="00E05BFE">
        <w:rPr>
          <w:rFonts w:eastAsia="Times New Roman"/>
          <w:noProof/>
          <w:snapToGrid w:val="0"/>
          <w:szCs w:val="24"/>
          <w:lang w:val="en-US" w:eastAsia="en-US"/>
        </w:rPr>
        <w:t>FRC</w:t>
      </w:r>
      <w:r w:rsidRPr="00E05BFE">
        <w:rPr>
          <w:rFonts w:eastAsia="Times New Roman"/>
          <w:snapToGrid w:val="0"/>
          <w:szCs w:val="24"/>
          <w:lang w:val="en-US" w:eastAsia="en-US"/>
        </w:rPr>
        <w:t xml:space="preserve"> frame. The two-dimensional POA and NTHA </w:t>
      </w:r>
      <w:r w:rsidRPr="00E05BFE">
        <w:rPr>
          <w:rFonts w:eastAsia="Times New Roman"/>
          <w:noProof/>
          <w:snapToGrid w:val="0"/>
          <w:szCs w:val="24"/>
          <w:lang w:val="en-US" w:eastAsia="en-US"/>
        </w:rPr>
        <w:t>are executed</w:t>
      </w:r>
      <w:r w:rsidRPr="00E05BFE">
        <w:rPr>
          <w:rFonts w:eastAsia="Times New Roman"/>
          <w:snapToGrid w:val="0"/>
          <w:szCs w:val="24"/>
          <w:lang w:val="en-US" w:eastAsia="en-US"/>
        </w:rPr>
        <w:t xml:space="preserve"> for the frames in SAP2000. The material nonlinearity in all </w:t>
      </w:r>
      <w:r w:rsidRPr="00E05BFE">
        <w:rPr>
          <w:rFonts w:eastAsia="Times New Roman"/>
          <w:noProof/>
          <w:snapToGrid w:val="0"/>
          <w:szCs w:val="24"/>
          <w:lang w:val="en-US" w:eastAsia="en-US"/>
        </w:rPr>
        <w:t>framesis</w:t>
      </w:r>
      <w:r w:rsidRPr="00E05BFE">
        <w:rPr>
          <w:rFonts w:eastAsia="Times New Roman"/>
          <w:snapToGrid w:val="0"/>
          <w:szCs w:val="24"/>
          <w:lang w:val="en-US" w:eastAsia="en-US"/>
        </w:rPr>
        <w:t xml:space="preserve"> modeled as concentrated plasticity </w:t>
      </w:r>
      <w:r w:rsidRPr="00E05BFE">
        <w:rPr>
          <w:rFonts w:eastAsia="Times New Roman"/>
          <w:noProof/>
          <w:snapToGrid w:val="0"/>
          <w:szCs w:val="24"/>
          <w:lang w:val="en-US" w:eastAsia="en-US"/>
        </w:rPr>
        <w:t xml:space="preserve">in the form of </w:t>
      </w:r>
      <w:r w:rsidRPr="00E05BFE">
        <w:rPr>
          <w:rFonts w:eastAsia="Times New Roman"/>
          <w:snapToGrid w:val="0"/>
          <w:szCs w:val="24"/>
          <w:lang w:val="en-US" w:eastAsia="en-US"/>
        </w:rPr>
        <w:t>default plastic hinges as per ASCE-41-13 at the beam and column ends.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noProof/>
          <w:snapToGrid w:val="0"/>
          <w:szCs w:val="24"/>
          <w:lang w:val="en-US" w:eastAsia="en-US"/>
        </w:rPr>
      </w:pPr>
      <w:r w:rsidRPr="00E05BFE">
        <w:rPr>
          <w:rFonts w:eastAsia="Times New Roman"/>
          <w:b/>
          <w:bCs/>
          <w:i/>
          <w:iCs/>
          <w:snapToGrid w:val="0"/>
          <w:szCs w:val="24"/>
          <w:lang w:val="en-US" w:eastAsia="en-US"/>
        </w:rPr>
        <w:t>3.1 Capacity Curve (Nonlinear Static Pushover Curve)</w:t>
      </w:r>
    </w:p>
    <w:p w:rsidR="00E05BFE" w:rsidRPr="00E05BFE" w:rsidRDefault="00E05BFE" w:rsidP="00E05BFE">
      <w:pPr>
        <w:widowControl w:val="0"/>
        <w:spacing w:after="0" w:line="240" w:lineRule="auto"/>
        <w:jc w:val="both"/>
        <w:rPr>
          <w:rFonts w:eastAsia="Times New Roman"/>
          <w:noProof/>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noProof/>
          <w:snapToGrid w:val="0"/>
          <w:szCs w:val="24"/>
          <w:lang w:val="en-US" w:eastAsia="en-US"/>
        </w:rPr>
        <w:t>The capacity</w:t>
      </w:r>
      <w:r w:rsidRPr="00E05BFE">
        <w:rPr>
          <w:rFonts w:eastAsia="Times New Roman"/>
          <w:snapToGrid w:val="0"/>
          <w:szCs w:val="24"/>
          <w:lang w:val="en-US" w:eastAsia="en-US"/>
        </w:rPr>
        <w:t xml:space="preserve"> curves for the 5-Story FRC and SR connected frames are obtained from POA as shown in Figure 2(a).The capacity curve estimates the behavior of the structure in the inelastic range. Figure 2(a) shows that there is a considerable reduction in the maximum base shear in SR frames as compared to the FRC </w:t>
      </w:r>
      <w:r w:rsidRPr="00E05BFE">
        <w:rPr>
          <w:rFonts w:eastAsia="Times New Roman"/>
          <w:noProof/>
          <w:snapToGrid w:val="0"/>
          <w:szCs w:val="24"/>
          <w:lang w:val="en-US" w:eastAsia="en-US"/>
        </w:rPr>
        <w:t>frames. T</w:t>
      </w:r>
      <w:r w:rsidRPr="00E05BFE">
        <w:rPr>
          <w:rFonts w:eastAsia="Times New Roman"/>
          <w:snapToGrid w:val="0"/>
          <w:szCs w:val="24"/>
          <w:lang w:val="en-US" w:eastAsia="en-US"/>
        </w:rPr>
        <w:t xml:space="preserve">he maximum base shear in the elastic zone (typically a linear </w:t>
      </w:r>
      <w:r w:rsidRPr="00E05BFE">
        <w:rPr>
          <w:rFonts w:eastAsia="Times New Roman"/>
          <w:noProof/>
          <w:snapToGrid w:val="0"/>
          <w:szCs w:val="24"/>
          <w:lang w:val="en-US" w:eastAsia="en-US"/>
        </w:rPr>
        <w:t>zone</w:t>
      </w:r>
      <w:r w:rsidRPr="00E05BFE">
        <w:rPr>
          <w:rFonts w:eastAsia="Times New Roman"/>
          <w:snapToGrid w:val="0"/>
          <w:szCs w:val="24"/>
          <w:lang w:val="en-US" w:eastAsia="en-US"/>
        </w:rPr>
        <w:t xml:space="preserve"> in the capacity curve) is substantially less in the SR frame as compared to the FRC frame as expected.  However, the elastic-plastic (curved zone) and plastic (almost flat zone) portions which depict the inelastic excursion of </w:t>
      </w:r>
      <w:r w:rsidRPr="00E05BFE">
        <w:rPr>
          <w:rFonts w:eastAsia="Times New Roman"/>
          <w:noProof/>
          <w:snapToGrid w:val="0"/>
          <w:szCs w:val="24"/>
          <w:lang w:val="en-US" w:eastAsia="en-US"/>
        </w:rPr>
        <w:t>frames</w:t>
      </w:r>
      <w:r w:rsidRPr="00E05BFE">
        <w:rPr>
          <w:rFonts w:eastAsia="Times New Roman"/>
          <w:snapToGrid w:val="0"/>
          <w:szCs w:val="24"/>
          <w:lang w:val="en-US" w:eastAsia="en-US"/>
        </w:rPr>
        <w:t xml:space="preserve">, the SR frame undergoes large deformations before the collapse as compared to the FRC frame. </w:t>
      </w:r>
    </w:p>
    <w:p w:rsidR="00E05BFE" w:rsidRPr="00E05BFE" w:rsidRDefault="00E05BFE" w:rsidP="00E05BFE">
      <w:pPr>
        <w:spacing w:after="160" w:line="259" w:lineRule="auto"/>
        <w:rPr>
          <w:rFonts w:eastAsia="Times New Roman"/>
          <w:snapToGrid w:val="0"/>
          <w:szCs w:val="24"/>
          <w:lang w:val="en-US" w:eastAsia="en-US"/>
        </w:rPr>
      </w:pPr>
      <w:r w:rsidRPr="00E05BFE">
        <w:rPr>
          <w:rFonts w:eastAsia="Times New Roman"/>
          <w:snapToGrid w:val="0"/>
          <w:szCs w:val="24"/>
          <w:lang w:val="en-US" w:eastAsia="en-US"/>
        </w:rPr>
        <w:br w:type="page"/>
      </w:r>
    </w:p>
    <w:p w:rsidR="00E05BFE" w:rsidRPr="00E05BFE" w:rsidRDefault="00E05BFE" w:rsidP="00E05BFE">
      <w:pPr>
        <w:widowControl w:val="0"/>
        <w:spacing w:after="0" w:line="240" w:lineRule="auto"/>
        <w:jc w:val="both"/>
        <w:rPr>
          <w:rFonts w:eastAsia="Times New Roman"/>
          <w:snapToGrid w:val="0"/>
          <w:sz w:val="18"/>
          <w:szCs w:val="24"/>
          <w:lang w:val="en-US" w:eastAsia="en-US"/>
        </w:rPr>
      </w:pPr>
      <w:r w:rsidRPr="00E05BFE">
        <w:rPr>
          <w:rFonts w:eastAsia="Times New Roman"/>
          <w:noProof/>
          <w:snapToGrid w:val="0"/>
          <w:sz w:val="18"/>
          <w:szCs w:val="24"/>
        </w:rPr>
        <w:lastRenderedPageBreak/>
        <w:drawing>
          <wp:inline distT="0" distB="0" distL="0" distR="0" wp14:anchorId="5BFA240A" wp14:editId="26456F0C">
            <wp:extent cx="2757101" cy="2229973"/>
            <wp:effectExtent l="19050" t="0" r="5149" b="0"/>
            <wp:docPr id="5" name="Picture 2" descr="D:\Vijay Sharma\SAP DIRECTORY\Conference 3_16WCSI Russia\Paper 2 Performance Level_POA and NLTHA\Response Result\Origin Plots\1 Capacity Curve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jay Sharma\SAP DIRECTORY\Conference 3_16WCSI Russia\Paper 2 Performance Level_POA and NLTHA\Response Result\Origin Plots\1 Capacity Curve tiff.tif"/>
                    <pic:cNvPicPr>
                      <a:picLocks noChangeAspect="1" noChangeArrowheads="1"/>
                    </pic:cNvPicPr>
                  </pic:nvPicPr>
                  <pic:blipFill>
                    <a:blip r:embed="rId10" cstate="print"/>
                    <a:srcRect l="5707" t="10409" r="11792" b="3345"/>
                    <a:stretch>
                      <a:fillRect/>
                    </a:stretch>
                  </pic:blipFill>
                  <pic:spPr bwMode="auto">
                    <a:xfrm>
                      <a:off x="0" y="0"/>
                      <a:ext cx="2759619" cy="2232010"/>
                    </a:xfrm>
                    <a:prstGeom prst="rect">
                      <a:avLst/>
                    </a:prstGeom>
                    <a:noFill/>
                    <a:ln w="9525">
                      <a:noFill/>
                      <a:miter lim="800000"/>
                      <a:headEnd/>
                      <a:tailEnd/>
                    </a:ln>
                  </pic:spPr>
                </pic:pic>
              </a:graphicData>
            </a:graphic>
          </wp:inline>
        </w:drawing>
      </w:r>
      <w:r w:rsidRPr="00E05BFE">
        <w:rPr>
          <w:rFonts w:eastAsia="Times New Roman"/>
          <w:noProof/>
          <w:snapToGrid w:val="0"/>
          <w:sz w:val="18"/>
          <w:szCs w:val="24"/>
        </w:rPr>
        <w:drawing>
          <wp:inline distT="0" distB="0" distL="0" distR="0" wp14:anchorId="50C1E9EA" wp14:editId="3A378595">
            <wp:extent cx="2807061" cy="2306595"/>
            <wp:effectExtent l="19050" t="0" r="0" b="0"/>
            <wp:docPr id="6" name="Picture 3" descr="D:\Vijay Sharma\SAP DIRECTORY\Conference 3_16WCSI Russia\Paper 2 Performance Level_POA and NLTHA\Response Result\Origin Plots\2 SR-1 PPs 16W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jay Sharma\SAP DIRECTORY\Conference 3_16WCSI Russia\Paper 2 Performance Level_POA and NLTHA\Response Result\Origin Plots\2 SR-1 PPs 16WCSI.jpg"/>
                    <pic:cNvPicPr>
                      <a:picLocks noChangeAspect="1" noChangeArrowheads="1"/>
                    </pic:cNvPicPr>
                  </pic:nvPicPr>
                  <pic:blipFill>
                    <a:blip r:embed="rId11" cstate="print"/>
                    <a:srcRect l="4269" t="10037" r="13048" b="2188"/>
                    <a:stretch>
                      <a:fillRect/>
                    </a:stretch>
                  </pic:blipFill>
                  <pic:spPr bwMode="auto">
                    <a:xfrm>
                      <a:off x="0" y="0"/>
                      <a:ext cx="2808090" cy="2307440"/>
                    </a:xfrm>
                    <a:prstGeom prst="rect">
                      <a:avLst/>
                    </a:prstGeom>
                    <a:noFill/>
                    <a:ln w="9525">
                      <a:noFill/>
                      <a:miter lim="800000"/>
                      <a:headEnd/>
                      <a:tailEnd/>
                    </a:ln>
                  </pic:spPr>
                </pic:pic>
              </a:graphicData>
            </a:graphic>
          </wp:inline>
        </w:drawing>
      </w:r>
    </w:p>
    <w:p w:rsidR="00E05BFE" w:rsidRPr="00E05BFE" w:rsidRDefault="00E05BFE" w:rsidP="00E05BFE">
      <w:pPr>
        <w:widowControl w:val="0"/>
        <w:numPr>
          <w:ilvl w:val="0"/>
          <w:numId w:val="5"/>
        </w:numPr>
        <w:spacing w:after="0" w:line="240" w:lineRule="auto"/>
        <w:contextualSpacing/>
        <w:jc w:val="both"/>
        <w:rPr>
          <w:rFonts w:eastAsia="Times New Roman"/>
          <w:snapToGrid w:val="0"/>
          <w:sz w:val="18"/>
          <w:szCs w:val="20"/>
          <w:lang w:val="en-US" w:eastAsia="en-US"/>
        </w:rPr>
      </w:pPr>
      <w:r w:rsidRPr="00E05BFE">
        <w:rPr>
          <w:rFonts w:eastAsia="Times New Roman"/>
          <w:snapToGrid w:val="0"/>
          <w:sz w:val="18"/>
          <w:szCs w:val="20"/>
          <w:lang w:val="en-US" w:eastAsia="en-US"/>
        </w:rPr>
        <w:t xml:space="preserve">                                                                                               (b)</w:t>
      </w:r>
    </w:p>
    <w:p w:rsidR="00E05BFE" w:rsidRPr="00E05BFE" w:rsidRDefault="00E05BFE" w:rsidP="00E05BFE">
      <w:pPr>
        <w:widowControl w:val="0"/>
        <w:spacing w:after="0" w:line="240" w:lineRule="auto"/>
        <w:jc w:val="center"/>
        <w:rPr>
          <w:rFonts w:eastAsia="Times New Roman"/>
          <w:snapToGrid w:val="0"/>
          <w:sz w:val="20"/>
          <w:szCs w:val="24"/>
          <w:lang w:val="en-US" w:eastAsia="en-US"/>
        </w:rPr>
      </w:pPr>
      <w:r w:rsidRPr="00E05BFE">
        <w:rPr>
          <w:rFonts w:eastAsia="Times New Roman"/>
          <w:snapToGrid w:val="0"/>
          <w:sz w:val="20"/>
          <w:szCs w:val="24"/>
          <w:lang w:val="en-US" w:eastAsia="en-US"/>
        </w:rPr>
        <w:t>Figure 2. (a) Capacity Curve of 5-Story FRC and SR Frame (b) Performance Points for SR-1_5S Frame at 0.3g and 0.7g PGA level for different types of earthquakes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b/>
          <w:bCs/>
          <w:i/>
          <w:iCs/>
          <w:snapToGrid w:val="0"/>
          <w:szCs w:val="24"/>
          <w:lang w:val="en-US" w:eastAsia="en-US"/>
        </w:rPr>
      </w:pPr>
      <w:r w:rsidRPr="00E05BFE">
        <w:rPr>
          <w:rFonts w:eastAsia="Times New Roman"/>
          <w:b/>
          <w:bCs/>
          <w:i/>
          <w:iCs/>
          <w:snapToGrid w:val="0"/>
          <w:szCs w:val="24"/>
          <w:lang w:val="en-US" w:eastAsia="en-US"/>
        </w:rPr>
        <w:t xml:space="preserve">3.2 The Performance Point </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The performance of the frames at three performance points (PP) corresponding to three demand response spectrums having different PGA levels </w:t>
      </w:r>
      <w:r w:rsidRPr="00E05BFE">
        <w:rPr>
          <w:rFonts w:eastAsia="Times New Roman"/>
          <w:noProof/>
          <w:snapToGrid w:val="0"/>
          <w:szCs w:val="24"/>
          <w:lang w:val="en-US" w:eastAsia="en-US"/>
        </w:rPr>
        <w:t>is investigated</w:t>
      </w:r>
      <w:r w:rsidRPr="00E05BFE">
        <w:rPr>
          <w:rFonts w:eastAsia="Times New Roman"/>
          <w:snapToGrid w:val="0"/>
          <w:szCs w:val="24"/>
          <w:lang w:val="en-US" w:eastAsia="en-US"/>
        </w:rPr>
        <w:t xml:space="preserve">. The PPs are the intersections of the </w:t>
      </w:r>
      <w:r w:rsidRPr="00E05BFE">
        <w:rPr>
          <w:rFonts w:eastAsia="Times New Roman"/>
          <w:noProof/>
          <w:snapToGrid w:val="0"/>
          <w:szCs w:val="24"/>
          <w:lang w:val="en-US" w:eastAsia="en-US"/>
        </w:rPr>
        <w:t>capacity</w:t>
      </w:r>
      <w:r w:rsidRPr="00E05BFE">
        <w:rPr>
          <w:rFonts w:eastAsia="Times New Roman"/>
          <w:snapToGrid w:val="0"/>
          <w:szCs w:val="24"/>
          <w:lang w:val="en-US" w:eastAsia="en-US"/>
        </w:rPr>
        <w:t xml:space="preserve"> curves with the design demand response spectrums, both reduced to the ADRS format</w:t>
      </w:r>
      <w:r w:rsidRPr="00E05BFE">
        <w:rPr>
          <w:rFonts w:eastAsia="Times New Roman"/>
          <w:noProof/>
          <w:snapToGrid w:val="0"/>
          <w:szCs w:val="24"/>
          <w:lang w:val="en-US" w:eastAsia="en-US"/>
        </w:rPr>
        <w:t>. Three</w:t>
      </w:r>
      <w:r w:rsidRPr="00E05BFE">
        <w:rPr>
          <w:rFonts w:eastAsia="Times New Roman"/>
          <w:snapToGrid w:val="0"/>
          <w:szCs w:val="24"/>
          <w:lang w:val="en-US" w:eastAsia="en-US"/>
        </w:rPr>
        <w:t xml:space="preserve"> sets of PPs at three performance levels </w:t>
      </w:r>
      <w:r w:rsidRPr="00E05BFE">
        <w:rPr>
          <w:rFonts w:eastAsia="Times New Roman"/>
          <w:noProof/>
          <w:snapToGrid w:val="0"/>
          <w:szCs w:val="24"/>
          <w:lang w:val="en-US" w:eastAsia="en-US"/>
        </w:rPr>
        <w:t>are evaluated</w:t>
      </w:r>
      <w:r w:rsidRPr="00E05BFE">
        <w:rPr>
          <w:rFonts w:eastAsia="Times New Roman"/>
          <w:snapToGrid w:val="0"/>
          <w:szCs w:val="24"/>
          <w:lang w:val="en-US" w:eastAsia="en-US"/>
        </w:rPr>
        <w:t xml:space="preserve">. It </w:t>
      </w:r>
      <w:r w:rsidRPr="00E05BFE">
        <w:rPr>
          <w:rFonts w:eastAsia="Times New Roman"/>
          <w:noProof/>
          <w:snapToGrid w:val="0"/>
          <w:szCs w:val="24"/>
          <w:lang w:val="en-US" w:eastAsia="en-US"/>
        </w:rPr>
        <w:t>is clearly seen</w:t>
      </w:r>
      <w:r w:rsidRPr="00E05BFE">
        <w:rPr>
          <w:rFonts w:eastAsia="Times New Roman"/>
          <w:snapToGrid w:val="0"/>
          <w:szCs w:val="24"/>
          <w:lang w:val="en-US" w:eastAsia="en-US"/>
        </w:rPr>
        <w:t xml:space="preserve"> from Figure 2(b) that NFF </w:t>
      </w:r>
      <w:r w:rsidRPr="00E05BFE">
        <w:rPr>
          <w:rFonts w:eastAsia="Times New Roman"/>
          <w:noProof/>
          <w:snapToGrid w:val="0"/>
          <w:szCs w:val="24"/>
          <w:lang w:val="en-US" w:eastAsia="en-US"/>
        </w:rPr>
        <w:t xml:space="preserve">type of </w:t>
      </w:r>
      <w:r w:rsidRPr="00E05BFE">
        <w:rPr>
          <w:rFonts w:eastAsia="Times New Roman"/>
          <w:snapToGrid w:val="0"/>
          <w:szCs w:val="24"/>
          <w:lang w:val="en-US" w:eastAsia="en-US"/>
        </w:rPr>
        <w:t xml:space="preserve">ground motion imposes a maximum displacement demand and the FF type of ground motion induces a minimum displacement demand for the frames. Thus, the seismic performance of the </w:t>
      </w:r>
      <w:r w:rsidRPr="00E05BFE">
        <w:rPr>
          <w:rFonts w:eastAsia="Times New Roman"/>
          <w:noProof/>
          <w:snapToGrid w:val="0"/>
          <w:szCs w:val="24"/>
          <w:lang w:val="en-US" w:eastAsia="en-US"/>
        </w:rPr>
        <w:t>frames</w:t>
      </w:r>
      <w:r w:rsidRPr="00E05BFE">
        <w:rPr>
          <w:rFonts w:eastAsia="Times New Roman"/>
          <w:snapToGrid w:val="0"/>
          <w:szCs w:val="24"/>
          <w:lang w:val="en-US" w:eastAsia="en-US"/>
        </w:rPr>
        <w:t xml:space="preserve"> under the near-field ground motions should </w:t>
      </w:r>
      <w:r w:rsidRPr="00E05BFE">
        <w:rPr>
          <w:rFonts w:eastAsia="Times New Roman"/>
          <w:noProof/>
          <w:snapToGrid w:val="0"/>
          <w:szCs w:val="24"/>
          <w:lang w:val="en-US" w:eastAsia="en-US"/>
        </w:rPr>
        <w:t>be closely examined</w:t>
      </w:r>
      <w:r w:rsidRPr="00E05BFE">
        <w:rPr>
          <w:rFonts w:eastAsia="Times New Roman"/>
          <w:snapToGrid w:val="0"/>
          <w:szCs w:val="24"/>
          <w:lang w:val="en-US" w:eastAsia="en-US"/>
        </w:rPr>
        <w:t xml:space="preserve">. </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b/>
          <w:bCs/>
          <w:snapToGrid w:val="0"/>
          <w:szCs w:val="24"/>
          <w:lang w:val="en-US" w:eastAsia="en-US"/>
        </w:rPr>
      </w:pPr>
      <w:r w:rsidRPr="00E05BFE">
        <w:rPr>
          <w:rFonts w:eastAsia="Times New Roman"/>
          <w:b/>
          <w:bCs/>
          <w:snapToGrid w:val="0"/>
          <w:szCs w:val="24"/>
          <w:lang w:val="en-US" w:eastAsia="en-US"/>
        </w:rPr>
        <w:t xml:space="preserve">4. RESULTS AND DISCUSSIONS </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Performances </w:t>
      </w:r>
      <w:r w:rsidRPr="00E05BFE">
        <w:rPr>
          <w:rFonts w:eastAsia="Times New Roman"/>
          <w:noProof/>
          <w:snapToGrid w:val="0"/>
          <w:szCs w:val="24"/>
          <w:lang w:val="en-US" w:eastAsia="en-US"/>
        </w:rPr>
        <w:t xml:space="preserve">of the </w:t>
      </w:r>
      <w:r w:rsidRPr="00E05BFE">
        <w:rPr>
          <w:rFonts w:eastAsia="Times New Roman"/>
          <w:snapToGrid w:val="0"/>
          <w:szCs w:val="24"/>
          <w:lang w:val="en-US" w:eastAsia="en-US"/>
        </w:rPr>
        <w:t xml:space="preserve">semi-rigid (SR) and fully rigid (FRC) 5-story frames are evaluated at three different PGA </w:t>
      </w:r>
      <w:r w:rsidRPr="00E05BFE">
        <w:rPr>
          <w:rFonts w:eastAsia="Times New Roman"/>
          <w:noProof/>
          <w:snapToGrid w:val="0"/>
          <w:szCs w:val="24"/>
          <w:lang w:val="en-US" w:eastAsia="en-US"/>
        </w:rPr>
        <w:t>levels</w:t>
      </w:r>
      <w:r w:rsidRPr="00E05BFE">
        <w:rPr>
          <w:rFonts w:eastAsia="Times New Roman"/>
          <w:snapToGrid w:val="0"/>
          <w:szCs w:val="24"/>
          <w:lang w:val="en-US" w:eastAsia="en-US"/>
        </w:rPr>
        <w:t>, corresponding to the three different performance states, elastic, elastic-plastic and plastic under near-field and far-field ground motions. The response quantities of interest are the top roof displacement (TRD), the maximum Base Shear (BS</w:t>
      </w:r>
      <w:r w:rsidRPr="00E05BFE">
        <w:rPr>
          <w:rFonts w:eastAsia="Times New Roman"/>
          <w:snapToGrid w:val="0"/>
          <w:szCs w:val="24"/>
          <w:vertAlign w:val="subscript"/>
          <w:lang w:val="en-US" w:eastAsia="en-US"/>
        </w:rPr>
        <w:t>max</w:t>
      </w:r>
      <w:r w:rsidRPr="00E05BFE">
        <w:rPr>
          <w:rFonts w:eastAsia="Times New Roman"/>
          <w:snapToGrid w:val="0"/>
          <w:szCs w:val="24"/>
          <w:lang w:val="en-US" w:eastAsia="en-US"/>
        </w:rPr>
        <w:t>),  the maximum story drift (</w:t>
      </w:r>
      <w:r w:rsidRPr="00E05BFE">
        <w:rPr>
          <w:rFonts w:eastAsia="Times New Roman"/>
          <w:noProof/>
          <w:snapToGrid w:val="0"/>
          <w:szCs w:val="24"/>
          <w:lang w:val="en-US" w:eastAsia="en-US"/>
        </w:rPr>
        <w:t>SD</w:t>
      </w:r>
      <w:r w:rsidRPr="00E05BFE">
        <w:rPr>
          <w:rFonts w:eastAsia="Times New Roman"/>
          <w:noProof/>
          <w:snapToGrid w:val="0"/>
          <w:szCs w:val="24"/>
          <w:vertAlign w:val="subscript"/>
          <w:lang w:val="en-US" w:eastAsia="en-US"/>
        </w:rPr>
        <w:t>max</w:t>
      </w:r>
      <w:r w:rsidRPr="00E05BFE">
        <w:rPr>
          <w:rFonts w:eastAsia="Times New Roman"/>
          <w:snapToGrid w:val="0"/>
          <w:szCs w:val="24"/>
          <w:lang w:val="en-US" w:eastAsia="en-US"/>
        </w:rPr>
        <w:t>), the total number of plastic hinges (PH</w:t>
      </w:r>
      <w:r w:rsidRPr="00E05BFE">
        <w:rPr>
          <w:rFonts w:eastAsia="Times New Roman"/>
          <w:snapToGrid w:val="0"/>
          <w:szCs w:val="24"/>
          <w:vertAlign w:val="subscript"/>
          <w:lang w:val="en-US" w:eastAsia="en-US"/>
        </w:rPr>
        <w:t>total</w:t>
      </w:r>
      <w:r w:rsidRPr="00E05BFE">
        <w:rPr>
          <w:rFonts w:eastAsia="Times New Roman"/>
          <w:snapToGrid w:val="0"/>
          <w:szCs w:val="24"/>
          <w:lang w:val="en-US" w:eastAsia="en-US"/>
        </w:rPr>
        <w:t>), the SRSS of maximum plastic hinge rotations (</w:t>
      </w:r>
      <w:r w:rsidRPr="00E05BFE">
        <w:rPr>
          <w:rFonts w:eastAsia="Times New Roman"/>
          <w:noProof/>
          <w:snapToGrid w:val="0"/>
          <w:szCs w:val="24"/>
          <w:lang w:val="en-US" w:eastAsia="en-US"/>
        </w:rPr>
        <w:t>HR</w:t>
      </w:r>
      <w:r w:rsidRPr="00E05BFE">
        <w:rPr>
          <w:rFonts w:eastAsia="Times New Roman"/>
          <w:noProof/>
          <w:snapToGrid w:val="0"/>
          <w:szCs w:val="24"/>
          <w:vertAlign w:val="subscript"/>
          <w:lang w:val="en-US" w:eastAsia="en-US"/>
        </w:rPr>
        <w:t>SRSS</w:t>
      </w:r>
      <w:r w:rsidRPr="00E05BFE">
        <w:rPr>
          <w:rFonts w:eastAsia="Times New Roman"/>
          <w:snapToGrid w:val="0"/>
          <w:szCs w:val="24"/>
          <w:lang w:val="en-US" w:eastAsia="en-US"/>
        </w:rPr>
        <w:t xml:space="preserve">) and the energy dissipation in the FRC and SR frames in the form of damping and link hysteretic energy. Further, the responses </w:t>
      </w:r>
      <w:r w:rsidRPr="00E05BFE">
        <w:rPr>
          <w:rFonts w:eastAsia="Times New Roman"/>
          <w:noProof/>
          <w:snapToGrid w:val="0"/>
          <w:szCs w:val="24"/>
          <w:lang w:val="en-US" w:eastAsia="en-US"/>
        </w:rPr>
        <w:t>are compared</w:t>
      </w:r>
      <w:r w:rsidRPr="00E05BFE">
        <w:rPr>
          <w:rFonts w:eastAsia="Times New Roman"/>
          <w:snapToGrid w:val="0"/>
          <w:szCs w:val="24"/>
          <w:lang w:val="en-US" w:eastAsia="en-US"/>
        </w:rPr>
        <w:t xml:space="preserve"> for different types of ground motions.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b/>
          <w:bCs/>
          <w:i/>
          <w:iCs/>
          <w:snapToGrid w:val="0"/>
          <w:szCs w:val="24"/>
          <w:lang w:val="en-US" w:eastAsia="en-US"/>
        </w:rPr>
      </w:pPr>
      <w:r w:rsidRPr="00E05BFE">
        <w:rPr>
          <w:rFonts w:eastAsia="Times New Roman"/>
          <w:b/>
          <w:bCs/>
          <w:i/>
          <w:iCs/>
          <w:snapToGrid w:val="0"/>
          <w:szCs w:val="24"/>
          <w:lang w:val="en-US" w:eastAsia="en-US"/>
        </w:rPr>
        <w:t>4.1 Responses corresponding to performance points from Pushover CSM approach</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The responses at different performance points are evaluated from POA using the CSM approach from three different types of ground motions, typified by FF, NFD, </w:t>
      </w:r>
      <w:r w:rsidRPr="00E05BFE">
        <w:rPr>
          <w:rFonts w:eastAsia="Times New Roman"/>
          <w:noProof/>
          <w:snapToGrid w:val="0"/>
          <w:szCs w:val="24"/>
          <w:lang w:val="en-US" w:eastAsia="en-US"/>
        </w:rPr>
        <w:t>and</w:t>
      </w:r>
      <w:r w:rsidRPr="00E05BFE">
        <w:rPr>
          <w:rFonts w:eastAsia="Times New Roman"/>
          <w:snapToGrid w:val="0"/>
          <w:szCs w:val="24"/>
          <w:lang w:val="en-US" w:eastAsia="en-US"/>
        </w:rPr>
        <w:t xml:space="preserve"> NFF. Table 2 shows the maximum base shear (BS</w:t>
      </w:r>
      <w:r w:rsidRPr="00E05BFE">
        <w:rPr>
          <w:rFonts w:eastAsia="Times New Roman"/>
          <w:snapToGrid w:val="0"/>
          <w:szCs w:val="24"/>
          <w:vertAlign w:val="subscript"/>
          <w:lang w:val="en-US" w:eastAsia="en-US"/>
        </w:rPr>
        <w:t>max</w:t>
      </w:r>
      <w:r w:rsidRPr="00E05BFE">
        <w:rPr>
          <w:rFonts w:eastAsia="Times New Roman"/>
          <w:snapToGrid w:val="0"/>
          <w:szCs w:val="24"/>
          <w:lang w:val="en-US" w:eastAsia="en-US"/>
        </w:rPr>
        <w:t xml:space="preserve">) and the top roof displacement (TRD) obtained at the </w:t>
      </w:r>
      <w:r w:rsidRPr="00E05BFE">
        <w:rPr>
          <w:rFonts w:eastAsia="Times New Roman"/>
          <w:noProof/>
          <w:snapToGrid w:val="0"/>
          <w:szCs w:val="24"/>
          <w:lang w:val="en-US" w:eastAsia="en-US"/>
        </w:rPr>
        <w:t>PGA</w:t>
      </w:r>
      <w:r w:rsidRPr="00E05BFE">
        <w:rPr>
          <w:rFonts w:eastAsia="Times New Roman"/>
          <w:snapToGrid w:val="0"/>
          <w:szCs w:val="24"/>
          <w:lang w:val="en-US" w:eastAsia="en-US"/>
        </w:rPr>
        <w:t xml:space="preserve"> of 0.3g, 0.5g, </w:t>
      </w:r>
      <w:r w:rsidRPr="00E05BFE">
        <w:rPr>
          <w:rFonts w:eastAsia="Times New Roman"/>
          <w:noProof/>
          <w:snapToGrid w:val="0"/>
          <w:szCs w:val="24"/>
          <w:lang w:val="en-US" w:eastAsia="en-US"/>
        </w:rPr>
        <w:t>and</w:t>
      </w:r>
      <w:r w:rsidRPr="00E05BFE">
        <w:rPr>
          <w:rFonts w:eastAsia="Times New Roman"/>
          <w:snapToGrid w:val="0"/>
          <w:szCs w:val="24"/>
          <w:lang w:val="en-US" w:eastAsia="en-US"/>
        </w:rPr>
        <w:t xml:space="preserve"> 0.7g for FRC and the two SR frames (SR-1_5S and SR-2_5S). It </w:t>
      </w:r>
      <w:r w:rsidRPr="00E05BFE">
        <w:rPr>
          <w:rFonts w:eastAsia="Times New Roman"/>
          <w:noProof/>
          <w:snapToGrid w:val="0"/>
          <w:szCs w:val="24"/>
          <w:lang w:val="en-US" w:eastAsia="en-US"/>
        </w:rPr>
        <w:t>is observed</w:t>
      </w:r>
      <w:r w:rsidRPr="00E05BFE">
        <w:rPr>
          <w:rFonts w:eastAsia="Times New Roman"/>
          <w:snapToGrid w:val="0"/>
          <w:szCs w:val="24"/>
          <w:lang w:val="en-US" w:eastAsia="en-US"/>
        </w:rPr>
        <w:t xml:space="preserve"> that the base shear values </w:t>
      </w:r>
      <w:r w:rsidRPr="00E05BFE">
        <w:rPr>
          <w:rFonts w:eastAsia="Times New Roman"/>
          <w:noProof/>
          <w:snapToGrid w:val="0"/>
          <w:szCs w:val="24"/>
          <w:lang w:val="en-US" w:eastAsia="en-US"/>
        </w:rPr>
        <w:t>are increased</w:t>
      </w:r>
      <w:r w:rsidRPr="00E05BFE">
        <w:rPr>
          <w:rFonts w:eastAsia="Times New Roman"/>
          <w:snapToGrid w:val="0"/>
          <w:szCs w:val="24"/>
          <w:lang w:val="en-US" w:eastAsia="en-US"/>
        </w:rPr>
        <w:t xml:space="preserve"> with an increase in PGA level for all types of </w:t>
      </w:r>
      <w:r w:rsidRPr="00E05BFE">
        <w:rPr>
          <w:rFonts w:eastAsia="Times New Roman"/>
          <w:noProof/>
          <w:snapToGrid w:val="0"/>
          <w:szCs w:val="24"/>
          <w:lang w:val="en-US" w:eastAsia="en-US"/>
        </w:rPr>
        <w:t>frames</w:t>
      </w:r>
      <w:r w:rsidRPr="00E05BFE">
        <w:rPr>
          <w:rFonts w:eastAsia="Times New Roman"/>
          <w:snapToGrid w:val="0"/>
          <w:szCs w:val="24"/>
          <w:lang w:val="en-US" w:eastAsia="en-US"/>
        </w:rPr>
        <w:t>. At the performance point corresponding to the elastic state (PGA 0.3g</w:t>
      </w:r>
      <w:r w:rsidRPr="00E05BFE">
        <w:rPr>
          <w:rFonts w:eastAsia="Times New Roman"/>
          <w:noProof/>
          <w:snapToGrid w:val="0"/>
          <w:szCs w:val="24"/>
          <w:lang w:val="en-US" w:eastAsia="en-US"/>
        </w:rPr>
        <w:t>),</w:t>
      </w:r>
      <w:r w:rsidRPr="00E05BFE">
        <w:rPr>
          <w:rFonts w:eastAsia="Times New Roman"/>
          <w:snapToGrid w:val="0"/>
          <w:szCs w:val="24"/>
          <w:lang w:val="en-US" w:eastAsia="en-US"/>
        </w:rPr>
        <w:t xml:space="preserve"> the maximum base shear values in FRC frames are increased by 46% and 80% as compared to SR frames in the NFD and  NFF earthquakes respectively. For the </w:t>
      </w:r>
      <w:r w:rsidRPr="00E05BFE">
        <w:rPr>
          <w:rFonts w:eastAsia="Times New Roman"/>
          <w:noProof/>
          <w:snapToGrid w:val="0"/>
          <w:szCs w:val="24"/>
          <w:lang w:val="en-US" w:eastAsia="en-US"/>
        </w:rPr>
        <w:t>elastic-plastic state</w:t>
      </w:r>
      <w:r w:rsidRPr="00E05BFE">
        <w:rPr>
          <w:rFonts w:eastAsia="Times New Roman"/>
          <w:snapToGrid w:val="0"/>
          <w:szCs w:val="24"/>
          <w:lang w:val="en-US" w:eastAsia="en-US"/>
        </w:rPr>
        <w:t xml:space="preserve"> (0.5g PGA) and the plastic state (0.7g) also the FRC frame provides considerably higher base shear as compared to the SR frames</w:t>
      </w:r>
      <w:r w:rsidRPr="00E05BFE">
        <w:rPr>
          <w:rFonts w:eastAsia="Times New Roman"/>
          <w:noProof/>
          <w:snapToGrid w:val="0"/>
          <w:szCs w:val="24"/>
          <w:lang w:val="en-US" w:eastAsia="en-US"/>
        </w:rPr>
        <w:t>. Thus</w:t>
      </w:r>
      <w:r w:rsidRPr="00E05BFE">
        <w:rPr>
          <w:rFonts w:eastAsia="Times New Roman"/>
          <w:snapToGrid w:val="0"/>
          <w:szCs w:val="24"/>
          <w:lang w:val="en-US" w:eastAsia="en-US"/>
        </w:rPr>
        <w:t>, SR frames prove to be more beneficial in respect of base shear.</w:t>
      </w: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Table 2 also shows the top roof displacement in FRC and SR frames. It </w:t>
      </w:r>
      <w:r w:rsidRPr="00E05BFE">
        <w:rPr>
          <w:rFonts w:eastAsia="Times New Roman"/>
          <w:noProof/>
          <w:snapToGrid w:val="0"/>
          <w:szCs w:val="24"/>
          <w:lang w:val="en-US" w:eastAsia="en-US"/>
        </w:rPr>
        <w:t>is seen</w:t>
      </w:r>
      <w:r w:rsidRPr="00E05BFE">
        <w:rPr>
          <w:rFonts w:eastAsia="Times New Roman"/>
          <w:snapToGrid w:val="0"/>
          <w:szCs w:val="24"/>
          <w:lang w:val="en-US" w:eastAsia="en-US"/>
        </w:rPr>
        <w:t xml:space="preserve"> from the table that the </w:t>
      </w:r>
      <w:r w:rsidRPr="00E05BFE">
        <w:rPr>
          <w:rFonts w:eastAsia="Times New Roman"/>
          <w:noProof/>
          <w:snapToGrid w:val="0"/>
          <w:szCs w:val="24"/>
          <w:lang w:val="en-US" w:eastAsia="en-US"/>
        </w:rPr>
        <w:t>top</w:t>
      </w:r>
      <w:r w:rsidRPr="00E05BFE">
        <w:rPr>
          <w:rFonts w:eastAsia="Times New Roman"/>
          <w:snapToGrid w:val="0"/>
          <w:szCs w:val="24"/>
          <w:lang w:val="en-US" w:eastAsia="en-US"/>
        </w:rPr>
        <w:t xml:space="preserve"> floor displacement increases with the increase in the PGA and the degree of semi-rigidity (the less value of alpha shows more degree of semi-rigidity). However, the increase in the top floor displacement in the SR frames due to semi-rigidity is less for the near field earthquake as compared to the far field earthquake. Thus, the performance of the SR frames is relatively better in the near field earthquakes</w:t>
      </w:r>
      <w:r w:rsidRPr="00E05BFE">
        <w:rPr>
          <w:rFonts w:eastAsia="Times New Roman"/>
          <w:snapToGrid w:val="0"/>
          <w:szCs w:val="24"/>
          <w:lang w:val="en-US" w:eastAsia="en-US"/>
        </w:rPr>
        <w:br w:type="page"/>
      </w:r>
    </w:p>
    <w:p w:rsidR="00E05BFE" w:rsidRPr="00E05BFE" w:rsidRDefault="00E05BFE" w:rsidP="00E05BFE">
      <w:pPr>
        <w:widowControl w:val="0"/>
        <w:spacing w:after="0" w:line="240" w:lineRule="auto"/>
        <w:jc w:val="center"/>
        <w:rPr>
          <w:rFonts w:eastAsia="Times New Roman"/>
          <w:snapToGrid w:val="0"/>
          <w:sz w:val="20"/>
          <w:szCs w:val="24"/>
          <w:lang w:val="en-US" w:eastAsia="en-US"/>
        </w:rPr>
      </w:pPr>
      <w:r w:rsidRPr="00E05BFE">
        <w:rPr>
          <w:rFonts w:eastAsia="Times New Roman"/>
          <w:snapToGrid w:val="0"/>
          <w:sz w:val="20"/>
          <w:szCs w:val="24"/>
          <w:lang w:val="en-US" w:eastAsia="en-US"/>
        </w:rPr>
        <w:lastRenderedPageBreak/>
        <w:t>Table 2. Responses Corresponding To Different Performance Points At Different PGA Level</w:t>
      </w:r>
    </w:p>
    <w:p w:rsidR="00E05BFE" w:rsidRPr="00E05BFE" w:rsidRDefault="00E05BFE" w:rsidP="00E05BFE">
      <w:pPr>
        <w:widowControl w:val="0"/>
        <w:spacing w:after="0" w:line="240" w:lineRule="auto"/>
        <w:jc w:val="both"/>
        <w:rPr>
          <w:rFonts w:eastAsia="Times New Roman"/>
          <w:snapToGrid w:val="0"/>
          <w:szCs w:val="24"/>
          <w:lang w:val="en-US" w:eastAsia="en-U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323"/>
        <w:gridCol w:w="1127"/>
        <w:gridCol w:w="1234"/>
        <w:gridCol w:w="1234"/>
        <w:gridCol w:w="1234"/>
        <w:gridCol w:w="1234"/>
        <w:gridCol w:w="1234"/>
        <w:gridCol w:w="1234"/>
      </w:tblGrid>
      <w:tr w:rsidR="00E05BFE" w:rsidRPr="00E05BFE" w:rsidTr="00B97EDB">
        <w:trPr>
          <w:trHeight w:val="394"/>
        </w:trPr>
        <w:tc>
          <w:tcPr>
            <w:tcW w:w="672" w:type="pct"/>
            <w:vMerge w:val="restart"/>
            <w:shd w:val="clear" w:color="000000" w:fill="FFFFFF"/>
            <w:hideMark/>
          </w:tcPr>
          <w:p w:rsidR="00E05BFE" w:rsidRPr="00E05BFE" w:rsidRDefault="00E05BFE" w:rsidP="00E05BFE">
            <w:pPr>
              <w:widowControl w:val="0"/>
              <w:spacing w:after="0" w:line="240" w:lineRule="auto"/>
              <w:jc w:val="both"/>
              <w:rPr>
                <w:rFonts w:eastAsia="Times New Roman"/>
                <w:b/>
                <w:snapToGrid w:val="0"/>
                <w:color w:val="000000"/>
                <w:szCs w:val="24"/>
                <w:lang w:val="en-US" w:eastAsia="en-US"/>
              </w:rPr>
            </w:pPr>
            <w:r w:rsidRPr="00E05BFE">
              <w:rPr>
                <w:rFonts w:eastAsia="Times New Roman"/>
                <w:b/>
                <w:snapToGrid w:val="0"/>
                <w:color w:val="000000"/>
                <w:szCs w:val="24"/>
                <w:lang w:val="en-US" w:eastAsia="en-US"/>
              </w:rPr>
              <w:t>Frame ID</w:t>
            </w:r>
          </w:p>
        </w:tc>
        <w:tc>
          <w:tcPr>
            <w:tcW w:w="572" w:type="pct"/>
            <w:vMerge w:val="restart"/>
            <w:shd w:val="clear" w:color="000000" w:fill="FFFFFF"/>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PGA (g)</w:t>
            </w:r>
          </w:p>
        </w:tc>
        <w:tc>
          <w:tcPr>
            <w:tcW w:w="1878" w:type="pct"/>
            <w:gridSpan w:val="3"/>
            <w:shd w:val="clear" w:color="000000" w:fill="FFFFFF"/>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Base Shear BS</w:t>
            </w:r>
            <w:r w:rsidRPr="00E05BFE">
              <w:rPr>
                <w:rFonts w:eastAsia="Times New Roman"/>
                <w:b/>
                <w:snapToGrid w:val="0"/>
                <w:color w:val="000000"/>
                <w:szCs w:val="24"/>
                <w:vertAlign w:val="subscript"/>
                <w:lang w:val="en-US" w:eastAsia="en-US"/>
              </w:rPr>
              <w:t>max</w:t>
            </w:r>
            <w:r w:rsidRPr="00E05BFE">
              <w:rPr>
                <w:rFonts w:eastAsia="Times New Roman"/>
                <w:b/>
                <w:snapToGrid w:val="0"/>
                <w:color w:val="000000"/>
                <w:szCs w:val="24"/>
                <w:lang w:val="en-US" w:eastAsia="en-US"/>
              </w:rPr>
              <w:t>(KN)</w:t>
            </w:r>
          </w:p>
        </w:tc>
        <w:tc>
          <w:tcPr>
            <w:tcW w:w="1878" w:type="pct"/>
            <w:gridSpan w:val="3"/>
            <w:shd w:val="clear" w:color="000000" w:fill="FFFFFF"/>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Top Roof  Displacement (mm)</w:t>
            </w:r>
          </w:p>
        </w:tc>
      </w:tr>
      <w:tr w:rsidR="00E05BFE" w:rsidRPr="00E05BFE" w:rsidTr="00B97EDB">
        <w:trPr>
          <w:trHeight w:val="394"/>
        </w:trPr>
        <w:tc>
          <w:tcPr>
            <w:tcW w:w="672" w:type="pct"/>
            <w:vMerge/>
            <w:tcBorders>
              <w:bottom w:val="single" w:sz="4" w:space="0" w:color="auto"/>
            </w:tcBorders>
            <w:vAlign w:val="center"/>
            <w:hideMark/>
          </w:tcPr>
          <w:p w:rsidR="00E05BFE" w:rsidRPr="00E05BFE" w:rsidRDefault="00E05BFE" w:rsidP="00E05BFE">
            <w:pPr>
              <w:widowControl w:val="0"/>
              <w:spacing w:after="0" w:line="240" w:lineRule="auto"/>
              <w:jc w:val="both"/>
              <w:rPr>
                <w:rFonts w:eastAsia="Times New Roman"/>
                <w:b/>
                <w:snapToGrid w:val="0"/>
                <w:color w:val="000000"/>
                <w:szCs w:val="24"/>
                <w:lang w:val="en-US" w:eastAsia="en-US"/>
              </w:rPr>
            </w:pPr>
          </w:p>
        </w:tc>
        <w:tc>
          <w:tcPr>
            <w:tcW w:w="572" w:type="pct"/>
            <w:vMerge/>
            <w:tcBorders>
              <w:bottom w:val="single" w:sz="4" w:space="0" w:color="auto"/>
            </w:tcBorders>
            <w:vAlign w:val="center"/>
            <w:hideMark/>
          </w:tcPr>
          <w:p w:rsidR="00E05BFE" w:rsidRPr="00E05BFE" w:rsidRDefault="00E05BFE" w:rsidP="00E05BFE">
            <w:pPr>
              <w:widowControl w:val="0"/>
              <w:spacing w:after="0" w:line="240" w:lineRule="auto"/>
              <w:jc w:val="both"/>
              <w:rPr>
                <w:rFonts w:eastAsia="Times New Roman"/>
                <w:b/>
                <w:snapToGrid w:val="0"/>
                <w:color w:val="000000"/>
                <w:szCs w:val="24"/>
                <w:lang w:val="en-US" w:eastAsia="en-US"/>
              </w:rPr>
            </w:pPr>
          </w:p>
        </w:tc>
        <w:tc>
          <w:tcPr>
            <w:tcW w:w="626" w:type="pct"/>
            <w:tcBorders>
              <w:bottom w:val="single" w:sz="4" w:space="0" w:color="auto"/>
            </w:tcBorders>
            <w:shd w:val="clear" w:color="000000" w:fill="FFFFFF"/>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FF</w:t>
            </w:r>
          </w:p>
        </w:tc>
        <w:tc>
          <w:tcPr>
            <w:tcW w:w="626" w:type="pct"/>
            <w:tcBorders>
              <w:bottom w:val="single" w:sz="4" w:space="0" w:color="auto"/>
            </w:tcBorders>
            <w:shd w:val="clear" w:color="000000" w:fill="FFFFFF"/>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NFD</w:t>
            </w:r>
          </w:p>
        </w:tc>
        <w:tc>
          <w:tcPr>
            <w:tcW w:w="626" w:type="pct"/>
            <w:tcBorders>
              <w:bottom w:val="single" w:sz="4" w:space="0" w:color="auto"/>
            </w:tcBorders>
            <w:shd w:val="clear" w:color="000000" w:fill="FFFFFF"/>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NFF</w:t>
            </w:r>
          </w:p>
        </w:tc>
        <w:tc>
          <w:tcPr>
            <w:tcW w:w="626" w:type="pct"/>
            <w:tcBorders>
              <w:bottom w:val="single" w:sz="4" w:space="0" w:color="auto"/>
            </w:tcBorders>
            <w:shd w:val="clear" w:color="000000" w:fill="FFFFFF"/>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FF</w:t>
            </w:r>
          </w:p>
        </w:tc>
        <w:tc>
          <w:tcPr>
            <w:tcW w:w="626" w:type="pct"/>
            <w:tcBorders>
              <w:bottom w:val="single" w:sz="4" w:space="0" w:color="auto"/>
            </w:tcBorders>
            <w:shd w:val="clear" w:color="000000" w:fill="FFFFFF"/>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NFD</w:t>
            </w:r>
          </w:p>
        </w:tc>
        <w:tc>
          <w:tcPr>
            <w:tcW w:w="626" w:type="pct"/>
            <w:tcBorders>
              <w:bottom w:val="single" w:sz="4" w:space="0" w:color="auto"/>
            </w:tcBorders>
            <w:shd w:val="clear" w:color="000000" w:fill="FFFFFF"/>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NFF</w:t>
            </w:r>
          </w:p>
        </w:tc>
      </w:tr>
      <w:tr w:rsidR="00E05BFE" w:rsidRPr="00E05BFE" w:rsidTr="00B97EDB">
        <w:trPr>
          <w:cantSplit/>
          <w:trHeight w:val="284"/>
        </w:trPr>
        <w:tc>
          <w:tcPr>
            <w:tcW w:w="672" w:type="pct"/>
            <w:vMerge w:val="restart"/>
            <w:tcBorders>
              <w:bottom w:val="nil"/>
            </w:tcBorders>
            <w:shd w:val="clear" w:color="000000" w:fill="FFFFFF"/>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r w:rsidRPr="00E05BFE">
              <w:rPr>
                <w:rFonts w:eastAsia="Times New Roman"/>
                <w:snapToGrid w:val="0"/>
                <w:color w:val="000000"/>
                <w:szCs w:val="24"/>
                <w:lang w:val="en-US" w:eastAsia="en-US"/>
              </w:rPr>
              <w:t>FRC_5S</w:t>
            </w:r>
          </w:p>
        </w:tc>
        <w:tc>
          <w:tcPr>
            <w:tcW w:w="572"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0.3</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286.08</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417.73</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509.96</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80.31</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118.66</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156.90</w:t>
            </w:r>
          </w:p>
        </w:tc>
      </w:tr>
      <w:tr w:rsidR="00E05BFE" w:rsidRPr="00E05BFE" w:rsidTr="00B97EDB">
        <w:trPr>
          <w:cantSplit/>
          <w:trHeight w:val="284"/>
        </w:trPr>
        <w:tc>
          <w:tcPr>
            <w:tcW w:w="672" w:type="pct"/>
            <w:vMerge/>
            <w:tcBorders>
              <w:top w:val="nil"/>
              <w:bottom w:val="nil"/>
            </w:tcBorders>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p>
        </w:tc>
        <w:tc>
          <w:tcPr>
            <w:tcW w:w="572"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0.5</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449.54</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554.36</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610.30</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130.04</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179.08</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228.03</w:t>
            </w:r>
          </w:p>
        </w:tc>
      </w:tr>
      <w:tr w:rsidR="00E05BFE" w:rsidRPr="00E05BFE" w:rsidTr="00B97EDB">
        <w:trPr>
          <w:cantSplit/>
          <w:trHeight w:val="284"/>
        </w:trPr>
        <w:tc>
          <w:tcPr>
            <w:tcW w:w="672" w:type="pct"/>
            <w:vMerge/>
            <w:tcBorders>
              <w:top w:val="nil"/>
              <w:bottom w:val="single" w:sz="4" w:space="0" w:color="auto"/>
            </w:tcBorders>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p>
        </w:tc>
        <w:tc>
          <w:tcPr>
            <w:tcW w:w="572"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0.7</w:t>
            </w:r>
          </w:p>
        </w:tc>
        <w:tc>
          <w:tcPr>
            <w:tcW w:w="626" w:type="pct"/>
            <w:tcBorders>
              <w:top w:val="nil"/>
              <w:bottom w:val="single" w:sz="4" w:space="0" w:color="auto"/>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554.24</w:t>
            </w:r>
          </w:p>
        </w:tc>
        <w:tc>
          <w:tcPr>
            <w:tcW w:w="626" w:type="pct"/>
            <w:tcBorders>
              <w:top w:val="nil"/>
              <w:bottom w:val="single" w:sz="4" w:space="0" w:color="auto"/>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606.34</w:t>
            </w:r>
          </w:p>
        </w:tc>
        <w:tc>
          <w:tcPr>
            <w:tcW w:w="626" w:type="pct"/>
            <w:tcBorders>
              <w:top w:val="nil"/>
              <w:bottom w:val="single" w:sz="4" w:space="0" w:color="auto"/>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629.56</w:t>
            </w:r>
          </w:p>
        </w:tc>
        <w:tc>
          <w:tcPr>
            <w:tcW w:w="626" w:type="pct"/>
            <w:tcBorders>
              <w:top w:val="nil"/>
              <w:bottom w:val="single" w:sz="4" w:space="0" w:color="auto"/>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179.01</w:t>
            </w:r>
          </w:p>
        </w:tc>
        <w:tc>
          <w:tcPr>
            <w:tcW w:w="626" w:type="pct"/>
            <w:tcBorders>
              <w:top w:val="nil"/>
              <w:bottom w:val="single" w:sz="4" w:space="0" w:color="auto"/>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221.20</w:t>
            </w:r>
          </w:p>
        </w:tc>
        <w:tc>
          <w:tcPr>
            <w:tcW w:w="626" w:type="pct"/>
            <w:tcBorders>
              <w:top w:val="nil"/>
              <w:bottom w:val="single" w:sz="4" w:space="0" w:color="auto"/>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277.43</w:t>
            </w:r>
          </w:p>
        </w:tc>
      </w:tr>
      <w:tr w:rsidR="00E05BFE" w:rsidRPr="00E05BFE" w:rsidTr="00B97EDB">
        <w:trPr>
          <w:cantSplit/>
          <w:trHeight w:val="284"/>
        </w:trPr>
        <w:tc>
          <w:tcPr>
            <w:tcW w:w="672" w:type="pct"/>
            <w:vMerge w:val="restart"/>
            <w:tcBorders>
              <w:bottom w:val="nil"/>
            </w:tcBorders>
            <w:shd w:val="clear" w:color="000000" w:fill="FFFFFF"/>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r w:rsidRPr="00E05BFE">
              <w:rPr>
                <w:rFonts w:eastAsia="Times New Roman"/>
                <w:snapToGrid w:val="0"/>
                <w:color w:val="000000"/>
                <w:szCs w:val="24"/>
                <w:lang w:val="en-US" w:eastAsia="en-US"/>
              </w:rPr>
              <w:t>SR-1_5S (α=10; β=1.5)</w:t>
            </w:r>
          </w:p>
        </w:tc>
        <w:tc>
          <w:tcPr>
            <w:tcW w:w="572"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0.3</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281.91</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332.39</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420.41</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108.74</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128.33</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170.85</w:t>
            </w:r>
          </w:p>
        </w:tc>
      </w:tr>
      <w:tr w:rsidR="00E05BFE" w:rsidRPr="00E05BFE" w:rsidTr="00B97EDB">
        <w:trPr>
          <w:cantSplit/>
          <w:trHeight w:val="284"/>
        </w:trPr>
        <w:tc>
          <w:tcPr>
            <w:tcW w:w="672" w:type="pct"/>
            <w:vMerge/>
            <w:tcBorders>
              <w:top w:val="nil"/>
              <w:bottom w:val="nil"/>
            </w:tcBorders>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p>
        </w:tc>
        <w:tc>
          <w:tcPr>
            <w:tcW w:w="572"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0.5</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431.73</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462.32</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543.63</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176.60</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192.82</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249.56</w:t>
            </w:r>
          </w:p>
        </w:tc>
      </w:tr>
      <w:tr w:rsidR="00E05BFE" w:rsidRPr="00E05BFE" w:rsidTr="00B97EDB">
        <w:trPr>
          <w:cantSplit/>
          <w:trHeight w:val="284"/>
        </w:trPr>
        <w:tc>
          <w:tcPr>
            <w:tcW w:w="672" w:type="pct"/>
            <w:vMerge/>
            <w:tcBorders>
              <w:top w:val="nil"/>
              <w:bottom w:val="single" w:sz="4" w:space="0" w:color="auto"/>
            </w:tcBorders>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p>
        </w:tc>
        <w:tc>
          <w:tcPr>
            <w:tcW w:w="572"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0.7</w:t>
            </w:r>
          </w:p>
        </w:tc>
        <w:tc>
          <w:tcPr>
            <w:tcW w:w="626" w:type="pct"/>
            <w:tcBorders>
              <w:top w:val="nil"/>
              <w:bottom w:val="single" w:sz="4" w:space="0" w:color="auto"/>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540.53</w:t>
            </w:r>
          </w:p>
        </w:tc>
        <w:tc>
          <w:tcPr>
            <w:tcW w:w="626" w:type="pct"/>
            <w:tcBorders>
              <w:top w:val="nil"/>
              <w:bottom w:val="single" w:sz="4" w:space="0" w:color="auto"/>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543.94</w:t>
            </w:r>
          </w:p>
        </w:tc>
        <w:tc>
          <w:tcPr>
            <w:tcW w:w="626" w:type="pct"/>
            <w:tcBorders>
              <w:top w:val="nil"/>
              <w:bottom w:val="single" w:sz="4" w:space="0" w:color="auto"/>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585.41</w:t>
            </w:r>
          </w:p>
        </w:tc>
        <w:tc>
          <w:tcPr>
            <w:tcW w:w="626" w:type="pct"/>
            <w:tcBorders>
              <w:top w:val="nil"/>
              <w:bottom w:val="single" w:sz="4" w:space="0" w:color="auto"/>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245.64</w:t>
            </w:r>
          </w:p>
        </w:tc>
        <w:tc>
          <w:tcPr>
            <w:tcW w:w="626" w:type="pct"/>
            <w:tcBorders>
              <w:top w:val="nil"/>
              <w:bottom w:val="single" w:sz="4" w:space="0" w:color="auto"/>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249.95</w:t>
            </w:r>
          </w:p>
        </w:tc>
        <w:tc>
          <w:tcPr>
            <w:tcW w:w="626" w:type="pct"/>
            <w:tcBorders>
              <w:top w:val="nil"/>
              <w:bottom w:val="single" w:sz="4" w:space="0" w:color="auto"/>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308.47</w:t>
            </w:r>
          </w:p>
        </w:tc>
      </w:tr>
      <w:tr w:rsidR="00E05BFE" w:rsidRPr="00E05BFE" w:rsidTr="00B97EDB">
        <w:trPr>
          <w:cantSplit/>
          <w:trHeight w:val="284"/>
        </w:trPr>
        <w:tc>
          <w:tcPr>
            <w:tcW w:w="672" w:type="pct"/>
            <w:vMerge w:val="restart"/>
            <w:tcBorders>
              <w:bottom w:val="nil"/>
            </w:tcBorders>
            <w:shd w:val="clear" w:color="000000" w:fill="FFFFFF"/>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r w:rsidRPr="00E05BFE">
              <w:rPr>
                <w:rFonts w:eastAsia="Times New Roman"/>
                <w:snapToGrid w:val="0"/>
                <w:color w:val="000000"/>
                <w:szCs w:val="24"/>
                <w:lang w:val="en-US" w:eastAsia="en-US"/>
              </w:rPr>
              <w:t>SR-2_5S</w:t>
            </w:r>
            <w:r w:rsidRPr="00E05BFE">
              <w:rPr>
                <w:rFonts w:eastAsia="Times New Roman"/>
                <w:snapToGrid w:val="0"/>
                <w:color w:val="000000"/>
                <w:szCs w:val="24"/>
                <w:lang w:val="en-US" w:eastAsia="en-US"/>
              </w:rPr>
              <w:br/>
              <w:t>(α=22; β=1.5)</w:t>
            </w:r>
          </w:p>
        </w:tc>
        <w:tc>
          <w:tcPr>
            <w:tcW w:w="572"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0.3</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281.57</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359.58</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448.80</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92.81</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122.52</w:t>
            </w:r>
          </w:p>
        </w:tc>
        <w:tc>
          <w:tcPr>
            <w:tcW w:w="626" w:type="pct"/>
            <w:tcBorders>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165.41</w:t>
            </w:r>
          </w:p>
        </w:tc>
      </w:tr>
      <w:tr w:rsidR="00E05BFE" w:rsidRPr="00E05BFE" w:rsidTr="00B97EDB">
        <w:trPr>
          <w:cantSplit/>
          <w:trHeight w:val="284"/>
        </w:trPr>
        <w:tc>
          <w:tcPr>
            <w:tcW w:w="672" w:type="pct"/>
            <w:vMerge/>
            <w:tcBorders>
              <w:top w:val="nil"/>
              <w:bottom w:val="nil"/>
            </w:tcBorders>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p>
        </w:tc>
        <w:tc>
          <w:tcPr>
            <w:tcW w:w="572"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0.5</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418.63</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479.11</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551.97</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150.41</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181.15</w:t>
            </w:r>
          </w:p>
        </w:tc>
        <w:tc>
          <w:tcPr>
            <w:tcW w:w="626" w:type="pct"/>
            <w:tcBorders>
              <w:top w:val="nil"/>
              <w:bottom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231.47</w:t>
            </w:r>
          </w:p>
        </w:tc>
      </w:tr>
      <w:tr w:rsidR="00E05BFE" w:rsidRPr="00E05BFE" w:rsidTr="00B97EDB">
        <w:trPr>
          <w:cantSplit/>
          <w:trHeight w:val="284"/>
        </w:trPr>
        <w:tc>
          <w:tcPr>
            <w:tcW w:w="672" w:type="pct"/>
            <w:vMerge/>
            <w:tcBorders>
              <w:top w:val="nil"/>
            </w:tcBorders>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p>
        </w:tc>
        <w:tc>
          <w:tcPr>
            <w:tcW w:w="572" w:type="pct"/>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0.7</w:t>
            </w:r>
          </w:p>
        </w:tc>
        <w:tc>
          <w:tcPr>
            <w:tcW w:w="626" w:type="pct"/>
            <w:tcBorders>
              <w:top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539.44</w:t>
            </w:r>
          </w:p>
        </w:tc>
        <w:tc>
          <w:tcPr>
            <w:tcW w:w="626" w:type="pct"/>
            <w:tcBorders>
              <w:top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554.92</w:t>
            </w:r>
          </w:p>
        </w:tc>
        <w:tc>
          <w:tcPr>
            <w:tcW w:w="626" w:type="pct"/>
            <w:tcBorders>
              <w:top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591.35</w:t>
            </w:r>
          </w:p>
        </w:tc>
        <w:tc>
          <w:tcPr>
            <w:tcW w:w="626" w:type="pct"/>
            <w:tcBorders>
              <w:top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219.23</w:t>
            </w:r>
          </w:p>
        </w:tc>
        <w:tc>
          <w:tcPr>
            <w:tcW w:w="626" w:type="pct"/>
            <w:tcBorders>
              <w:top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234.85</w:t>
            </w:r>
          </w:p>
        </w:tc>
        <w:tc>
          <w:tcPr>
            <w:tcW w:w="626" w:type="pct"/>
            <w:tcBorders>
              <w:top w:val="nil"/>
            </w:tcBorders>
            <w:shd w:val="clear" w:color="000000" w:fill="FFFFFF"/>
            <w:noWrap/>
            <w:vAlign w:val="bottom"/>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289.32</w:t>
            </w:r>
          </w:p>
        </w:tc>
      </w:tr>
    </w:tbl>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b/>
          <w:bCs/>
          <w:snapToGrid w:val="0"/>
          <w:szCs w:val="24"/>
          <w:lang w:val="en-US" w:eastAsia="en-US"/>
        </w:rPr>
      </w:pPr>
      <w:r w:rsidRPr="00E05BFE">
        <w:rPr>
          <w:rFonts w:eastAsia="Times New Roman"/>
          <w:b/>
          <w:bCs/>
          <w:i/>
          <w:iCs/>
          <w:snapToGrid w:val="0"/>
          <w:szCs w:val="24"/>
          <w:lang w:val="en-US" w:eastAsia="en-US"/>
        </w:rPr>
        <w:t xml:space="preserve">4.2 Comparison of responses between POA and NTHA at </w:t>
      </w:r>
      <w:r w:rsidRPr="00E05BFE">
        <w:rPr>
          <w:rFonts w:eastAsia="Times New Roman"/>
          <w:b/>
          <w:bCs/>
          <w:i/>
          <w:iCs/>
          <w:noProof/>
          <w:snapToGrid w:val="0"/>
          <w:szCs w:val="24"/>
          <w:lang w:val="en-US" w:eastAsia="en-US"/>
        </w:rPr>
        <w:t>different</w:t>
      </w:r>
      <w:r w:rsidRPr="00E05BFE">
        <w:rPr>
          <w:rFonts w:eastAsia="Times New Roman"/>
          <w:b/>
          <w:bCs/>
          <w:i/>
          <w:iCs/>
          <w:snapToGrid w:val="0"/>
          <w:szCs w:val="24"/>
          <w:lang w:val="en-US" w:eastAsia="en-US"/>
        </w:rPr>
        <w:t xml:space="preserve"> performance points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The responses obtained by POA and NTHA at different performance points are </w:t>
      </w:r>
      <w:r w:rsidRPr="00E05BFE">
        <w:rPr>
          <w:rFonts w:eastAsia="Times New Roman"/>
          <w:noProof/>
          <w:snapToGrid w:val="0"/>
          <w:szCs w:val="24"/>
          <w:lang w:val="en-US" w:eastAsia="en-US"/>
        </w:rPr>
        <w:t>compared response</w:t>
      </w:r>
      <w:r w:rsidRPr="00E05BFE">
        <w:rPr>
          <w:rFonts w:eastAsia="Times New Roman"/>
          <w:snapToGrid w:val="0"/>
          <w:szCs w:val="24"/>
          <w:lang w:val="en-US" w:eastAsia="en-US"/>
        </w:rPr>
        <w:t xml:space="preserve"> wise in the following sections.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i/>
          <w:iCs/>
          <w:snapToGrid w:val="0"/>
          <w:szCs w:val="24"/>
          <w:lang w:val="en-US" w:eastAsia="en-US"/>
        </w:rPr>
      </w:pPr>
      <w:r w:rsidRPr="00E05BFE">
        <w:rPr>
          <w:rFonts w:eastAsia="Times New Roman"/>
          <w:i/>
          <w:iCs/>
          <w:snapToGrid w:val="0"/>
          <w:szCs w:val="24"/>
          <w:lang w:val="en-US" w:eastAsia="en-US"/>
        </w:rPr>
        <w:t xml:space="preserve">4.2.1 Comparison of maximum base-shear between POA and NTHA </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The percentage differences in maximum base shear in 5-Story FRC and SR frames calculated from POA and NTHA at the three PGA levels </w:t>
      </w:r>
      <w:r w:rsidRPr="00E05BFE">
        <w:rPr>
          <w:rFonts w:eastAsia="Times New Roman"/>
          <w:noProof/>
          <w:snapToGrid w:val="0"/>
          <w:szCs w:val="24"/>
          <w:lang w:val="en-US" w:eastAsia="en-US"/>
        </w:rPr>
        <w:t>are compared</w:t>
      </w:r>
      <w:r w:rsidRPr="00E05BFE">
        <w:rPr>
          <w:rFonts w:eastAsia="Times New Roman"/>
          <w:snapToGrid w:val="0"/>
          <w:szCs w:val="24"/>
          <w:lang w:val="en-US" w:eastAsia="en-US"/>
        </w:rPr>
        <w:t xml:space="preserve"> for the three types of ground motions. Table 3 shows the percentage difference as [BS</w:t>
      </w:r>
      <w:r w:rsidRPr="00E05BFE">
        <w:rPr>
          <w:rFonts w:eastAsia="Times New Roman"/>
          <w:snapToGrid w:val="0"/>
          <w:szCs w:val="24"/>
          <w:vertAlign w:val="subscript"/>
          <w:lang w:val="en-US" w:eastAsia="en-US"/>
        </w:rPr>
        <w:t>max</w:t>
      </w:r>
      <w:r w:rsidRPr="00E05BFE">
        <w:rPr>
          <w:rFonts w:eastAsia="Times New Roman"/>
          <w:snapToGrid w:val="0"/>
          <w:szCs w:val="24"/>
          <w:lang w:val="en-US" w:eastAsia="en-US"/>
        </w:rPr>
        <w:t>(NTHA)- BS</w:t>
      </w:r>
      <w:r w:rsidRPr="00E05BFE">
        <w:rPr>
          <w:rFonts w:eastAsia="Times New Roman"/>
          <w:snapToGrid w:val="0"/>
          <w:szCs w:val="24"/>
          <w:vertAlign w:val="subscript"/>
          <w:lang w:val="en-US" w:eastAsia="en-US"/>
        </w:rPr>
        <w:t>max</w:t>
      </w:r>
      <w:r w:rsidRPr="00E05BFE">
        <w:rPr>
          <w:rFonts w:eastAsia="Times New Roman"/>
          <w:snapToGrid w:val="0"/>
          <w:szCs w:val="24"/>
          <w:lang w:val="en-US" w:eastAsia="en-US"/>
        </w:rPr>
        <w:t>(</w:t>
      </w:r>
      <w:r w:rsidRPr="00E05BFE">
        <w:rPr>
          <w:rFonts w:eastAsia="Times New Roman"/>
          <w:noProof/>
          <w:snapToGrid w:val="0"/>
          <w:szCs w:val="24"/>
          <w:lang w:val="en-US" w:eastAsia="en-US"/>
        </w:rPr>
        <w:t>POA</w:t>
      </w:r>
      <w:r w:rsidRPr="00E05BFE">
        <w:rPr>
          <w:rFonts w:eastAsia="Times New Roman"/>
          <w:snapToGrid w:val="0"/>
          <w:szCs w:val="24"/>
          <w:lang w:val="en-US" w:eastAsia="en-US"/>
        </w:rPr>
        <w:t>)/ BS</w:t>
      </w:r>
      <w:r w:rsidRPr="00E05BFE">
        <w:rPr>
          <w:rFonts w:eastAsia="Times New Roman"/>
          <w:snapToGrid w:val="0"/>
          <w:szCs w:val="24"/>
          <w:vertAlign w:val="subscript"/>
          <w:lang w:val="en-US" w:eastAsia="en-US"/>
        </w:rPr>
        <w:t>max</w:t>
      </w:r>
      <w:r w:rsidRPr="00E05BFE">
        <w:rPr>
          <w:rFonts w:eastAsia="Times New Roman"/>
          <w:snapToGrid w:val="0"/>
          <w:szCs w:val="24"/>
          <w:lang w:val="en-US" w:eastAsia="en-US"/>
        </w:rPr>
        <w:t xml:space="preserve">(NTHA)]. From the </w:t>
      </w:r>
      <w:r w:rsidRPr="00E05BFE">
        <w:rPr>
          <w:rFonts w:eastAsia="Times New Roman"/>
          <w:noProof/>
          <w:snapToGrid w:val="0"/>
          <w:szCs w:val="24"/>
          <w:lang w:val="en-US" w:eastAsia="en-US"/>
        </w:rPr>
        <w:t>table,</w:t>
      </w:r>
      <w:r w:rsidRPr="00E05BFE">
        <w:rPr>
          <w:rFonts w:eastAsia="Times New Roman"/>
          <w:snapToGrid w:val="0"/>
          <w:szCs w:val="24"/>
          <w:lang w:val="en-US" w:eastAsia="en-US"/>
        </w:rPr>
        <w:t xml:space="preserve"> it is seen that the difference decreases with the increase in PGA for the FF earthquakes. For the NFD and the NFF earthquakes, a reverse trend </w:t>
      </w:r>
      <w:r w:rsidRPr="00E05BFE">
        <w:rPr>
          <w:rFonts w:eastAsia="Times New Roman"/>
          <w:noProof/>
          <w:snapToGrid w:val="0"/>
          <w:szCs w:val="24"/>
          <w:lang w:val="en-US" w:eastAsia="en-US"/>
        </w:rPr>
        <w:t>is observed</w:t>
      </w:r>
      <w:r w:rsidRPr="00E05BFE">
        <w:rPr>
          <w:rFonts w:eastAsia="Times New Roman"/>
          <w:snapToGrid w:val="0"/>
          <w:szCs w:val="24"/>
          <w:lang w:val="en-US" w:eastAsia="en-US"/>
        </w:rPr>
        <w:t>. Further, the difference is less for the near field earthquakes as compared to the far field earthquakes.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center"/>
        <w:rPr>
          <w:rFonts w:eastAsia="Times New Roman"/>
          <w:snapToGrid w:val="0"/>
          <w:sz w:val="20"/>
          <w:szCs w:val="24"/>
          <w:lang w:val="en-US" w:eastAsia="en-US"/>
        </w:rPr>
      </w:pPr>
      <w:r w:rsidRPr="00E05BFE">
        <w:rPr>
          <w:rFonts w:eastAsia="Times New Roman"/>
          <w:snapToGrid w:val="0"/>
          <w:sz w:val="20"/>
          <w:szCs w:val="24"/>
          <w:lang w:val="en-US" w:eastAsia="en-US"/>
        </w:rPr>
        <w:t xml:space="preserve">Table 3. Percentage Difference in Responses (Base Shear and Top-roof Displacement) obtained from </w:t>
      </w:r>
      <w:r w:rsidRPr="00E05BFE">
        <w:rPr>
          <w:rFonts w:eastAsia="Times New Roman"/>
          <w:noProof/>
          <w:snapToGrid w:val="0"/>
          <w:sz w:val="20"/>
          <w:szCs w:val="24"/>
          <w:lang w:val="en-US" w:eastAsia="en-US"/>
        </w:rPr>
        <w:t>NTHA</w:t>
      </w:r>
      <w:r w:rsidRPr="00E05BFE">
        <w:rPr>
          <w:rFonts w:eastAsia="Times New Roman"/>
          <w:snapToGrid w:val="0"/>
          <w:sz w:val="20"/>
          <w:szCs w:val="24"/>
          <w:lang w:val="en-US" w:eastAsia="en-US"/>
        </w:rPr>
        <w:t xml:space="preserve"> and POA at different performance level PGA</w:t>
      </w:r>
    </w:p>
    <w:p w:rsidR="00E05BFE" w:rsidRPr="00E05BFE" w:rsidRDefault="00E05BFE" w:rsidP="00E05BFE">
      <w:pPr>
        <w:widowControl w:val="0"/>
        <w:spacing w:after="0" w:line="240" w:lineRule="auto"/>
        <w:jc w:val="both"/>
        <w:rPr>
          <w:rFonts w:eastAsia="Times New Roman"/>
          <w:snapToGrid w:val="0"/>
          <w:szCs w:val="24"/>
          <w:lang w:val="en-US" w:eastAsia="en-US"/>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49"/>
        <w:gridCol w:w="992"/>
        <w:gridCol w:w="905"/>
        <w:gridCol w:w="904"/>
        <w:gridCol w:w="998"/>
        <w:gridCol w:w="1331"/>
        <w:gridCol w:w="1331"/>
        <w:gridCol w:w="1331"/>
      </w:tblGrid>
      <w:tr w:rsidR="00E05BFE" w:rsidRPr="00E05BFE" w:rsidTr="00B97EDB">
        <w:trPr>
          <w:trHeight w:val="284"/>
        </w:trPr>
        <w:tc>
          <w:tcPr>
            <w:tcW w:w="0" w:type="auto"/>
            <w:vMerge w:val="restart"/>
            <w:shd w:val="clear" w:color="000000" w:fill="FFFFFF"/>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Frame ID</w:t>
            </w:r>
          </w:p>
        </w:tc>
        <w:tc>
          <w:tcPr>
            <w:tcW w:w="0" w:type="auto"/>
            <w:vMerge w:val="restart"/>
            <w:shd w:val="clear" w:color="000000" w:fill="FFFFFF"/>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PGA (g)</w:t>
            </w:r>
          </w:p>
        </w:tc>
        <w:tc>
          <w:tcPr>
            <w:tcW w:w="0" w:type="auto"/>
            <w:gridSpan w:val="3"/>
            <w:shd w:val="clear" w:color="000000" w:fill="FFFFFF"/>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 Difference in Base Shear</w:t>
            </w:r>
          </w:p>
        </w:tc>
        <w:tc>
          <w:tcPr>
            <w:tcW w:w="0" w:type="auto"/>
            <w:gridSpan w:val="3"/>
            <w:shd w:val="clear" w:color="000000" w:fill="FFFFFF"/>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 Difference in Top-Roof Displacement</w:t>
            </w:r>
          </w:p>
        </w:tc>
      </w:tr>
      <w:tr w:rsidR="00E05BFE" w:rsidRPr="00E05BFE" w:rsidTr="00B97EDB">
        <w:trPr>
          <w:trHeight w:val="284"/>
        </w:trPr>
        <w:tc>
          <w:tcPr>
            <w:tcW w:w="0" w:type="auto"/>
            <w:vMerge/>
            <w:tcBorders>
              <w:bottom w:val="single" w:sz="4" w:space="0" w:color="auto"/>
            </w:tcBorders>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p>
        </w:tc>
        <w:tc>
          <w:tcPr>
            <w:tcW w:w="0" w:type="auto"/>
            <w:vMerge/>
            <w:tcBorders>
              <w:bottom w:val="single" w:sz="4" w:space="0" w:color="auto"/>
            </w:tcBorders>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p>
        </w:tc>
        <w:tc>
          <w:tcPr>
            <w:tcW w:w="0" w:type="auto"/>
            <w:tcBorders>
              <w:bottom w:val="single" w:sz="4" w:space="0" w:color="auto"/>
            </w:tcBorders>
            <w:shd w:val="clear" w:color="000000" w:fill="FFFFFF"/>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FF</w:t>
            </w:r>
          </w:p>
        </w:tc>
        <w:tc>
          <w:tcPr>
            <w:tcW w:w="0" w:type="auto"/>
            <w:tcBorders>
              <w:bottom w:val="single" w:sz="4" w:space="0" w:color="auto"/>
            </w:tcBorders>
            <w:shd w:val="clear" w:color="000000" w:fill="FFFFFF"/>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NFD</w:t>
            </w:r>
          </w:p>
        </w:tc>
        <w:tc>
          <w:tcPr>
            <w:tcW w:w="0" w:type="auto"/>
            <w:tcBorders>
              <w:bottom w:val="single" w:sz="4" w:space="0" w:color="auto"/>
            </w:tcBorders>
            <w:shd w:val="clear" w:color="000000" w:fill="FFFFFF"/>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NFF</w:t>
            </w:r>
          </w:p>
        </w:tc>
        <w:tc>
          <w:tcPr>
            <w:tcW w:w="0" w:type="auto"/>
            <w:tcBorders>
              <w:bottom w:val="single" w:sz="4" w:space="0" w:color="auto"/>
            </w:tcBorders>
            <w:shd w:val="clear" w:color="000000" w:fill="FFFFFF"/>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FF</w:t>
            </w:r>
          </w:p>
        </w:tc>
        <w:tc>
          <w:tcPr>
            <w:tcW w:w="0" w:type="auto"/>
            <w:tcBorders>
              <w:bottom w:val="single" w:sz="4" w:space="0" w:color="auto"/>
            </w:tcBorders>
            <w:shd w:val="clear" w:color="000000" w:fill="FFFFFF"/>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NFD</w:t>
            </w:r>
          </w:p>
        </w:tc>
        <w:tc>
          <w:tcPr>
            <w:tcW w:w="0" w:type="auto"/>
            <w:tcBorders>
              <w:bottom w:val="single" w:sz="4" w:space="0" w:color="auto"/>
            </w:tcBorders>
            <w:shd w:val="clear" w:color="000000" w:fill="FFFFFF"/>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NFF</w:t>
            </w:r>
          </w:p>
        </w:tc>
      </w:tr>
      <w:tr w:rsidR="00E05BFE" w:rsidRPr="00E05BFE" w:rsidTr="00B97EDB">
        <w:trPr>
          <w:trHeight w:val="284"/>
        </w:trPr>
        <w:tc>
          <w:tcPr>
            <w:tcW w:w="0" w:type="auto"/>
            <w:vMerge w:val="restart"/>
            <w:tcBorders>
              <w:bottom w:val="nil"/>
            </w:tcBorders>
            <w:shd w:val="clear" w:color="000000" w:fill="FFFFFF"/>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FRC_5S</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0.3</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37.27</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15.66</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16.67</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35.21</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7.34</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16.68</w:t>
            </w:r>
          </w:p>
        </w:tc>
      </w:tr>
      <w:tr w:rsidR="00E05BFE" w:rsidRPr="00E05BFE" w:rsidTr="00B97EDB">
        <w:trPr>
          <w:trHeight w:val="284"/>
        </w:trPr>
        <w:tc>
          <w:tcPr>
            <w:tcW w:w="0" w:type="auto"/>
            <w:vMerge/>
            <w:tcBorders>
              <w:top w:val="nil"/>
              <w:bottom w:val="nil"/>
            </w:tcBorders>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0.5</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34.89</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21.27</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21.49</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29.49</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13.65</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5.69</w:t>
            </w:r>
          </w:p>
        </w:tc>
      </w:tr>
      <w:tr w:rsidR="00E05BFE" w:rsidRPr="00E05BFE" w:rsidTr="00B97EDB">
        <w:trPr>
          <w:trHeight w:val="284"/>
        </w:trPr>
        <w:tc>
          <w:tcPr>
            <w:tcW w:w="0" w:type="auto"/>
            <w:vMerge/>
            <w:tcBorders>
              <w:top w:val="nil"/>
              <w:bottom w:val="single" w:sz="4" w:space="0" w:color="auto"/>
            </w:tcBorders>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0.7</w:t>
            </w: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30.58</w:t>
            </w: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25.26</w:t>
            </w: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26.70</w:t>
            </w: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21.11</w:t>
            </w: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25.71</w:t>
            </w: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4.04</w:t>
            </w:r>
          </w:p>
        </w:tc>
      </w:tr>
      <w:tr w:rsidR="00E05BFE" w:rsidRPr="00E05BFE" w:rsidTr="00B97EDB">
        <w:trPr>
          <w:trHeight w:val="284"/>
        </w:trPr>
        <w:tc>
          <w:tcPr>
            <w:tcW w:w="0" w:type="auto"/>
            <w:vMerge w:val="restart"/>
            <w:tcBorders>
              <w:bottom w:val="nil"/>
            </w:tcBorders>
            <w:shd w:val="clear" w:color="000000" w:fill="FFFFFF"/>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SR-2_5S</w:t>
            </w:r>
            <w:r w:rsidRPr="00E05BFE">
              <w:rPr>
                <w:rFonts w:eastAsia="Times New Roman"/>
                <w:bCs/>
                <w:snapToGrid w:val="0"/>
                <w:color w:val="000000"/>
                <w:szCs w:val="24"/>
                <w:lang w:val="en-US" w:eastAsia="en-US"/>
              </w:rPr>
              <w:br/>
              <w:t>(α=22; β=1.5)</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0.3</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34.84</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16.39</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0.56</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26.03</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8.05</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2.65</w:t>
            </w:r>
          </w:p>
        </w:tc>
      </w:tr>
      <w:tr w:rsidR="00E05BFE" w:rsidRPr="00E05BFE" w:rsidTr="00B97EDB">
        <w:trPr>
          <w:trHeight w:val="284"/>
        </w:trPr>
        <w:tc>
          <w:tcPr>
            <w:tcW w:w="0" w:type="auto"/>
            <w:vMerge/>
            <w:tcBorders>
              <w:top w:val="nil"/>
              <w:bottom w:val="nil"/>
            </w:tcBorders>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0.5</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26.73</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20.72</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2.54</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17.03</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21.15</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-1.94</w:t>
            </w:r>
          </w:p>
        </w:tc>
      </w:tr>
      <w:tr w:rsidR="00E05BFE" w:rsidRPr="00E05BFE" w:rsidTr="00B97EDB">
        <w:trPr>
          <w:trHeight w:val="284"/>
        </w:trPr>
        <w:tc>
          <w:tcPr>
            <w:tcW w:w="0" w:type="auto"/>
            <w:vMerge/>
            <w:tcBorders>
              <w:top w:val="nil"/>
              <w:bottom w:val="single" w:sz="4" w:space="0" w:color="auto"/>
            </w:tcBorders>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0.7</w:t>
            </w: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23.82</w:t>
            </w: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19.06</w:t>
            </w: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9.96</w:t>
            </w: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7.42</w:t>
            </w: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28.88</w:t>
            </w:r>
          </w:p>
        </w:tc>
        <w:tc>
          <w:tcPr>
            <w:tcW w:w="0" w:type="auto"/>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-7.22</w:t>
            </w:r>
          </w:p>
        </w:tc>
      </w:tr>
      <w:tr w:rsidR="00E05BFE" w:rsidRPr="00E05BFE" w:rsidTr="00B97EDB">
        <w:trPr>
          <w:trHeight w:val="284"/>
        </w:trPr>
        <w:tc>
          <w:tcPr>
            <w:tcW w:w="0" w:type="auto"/>
            <w:vMerge w:val="restart"/>
            <w:tcBorders>
              <w:bottom w:val="nil"/>
            </w:tcBorders>
            <w:shd w:val="clear" w:color="000000" w:fill="FFFFFF"/>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 xml:space="preserve">SR-1_5S </w:t>
            </w:r>
            <w:r w:rsidRPr="00E05BFE">
              <w:rPr>
                <w:rFonts w:eastAsia="Times New Roman"/>
                <w:bCs/>
                <w:snapToGrid w:val="0"/>
                <w:color w:val="000000"/>
                <w:szCs w:val="24"/>
                <w:lang w:val="en-US" w:eastAsia="en-US"/>
              </w:rPr>
              <w:br/>
              <w:t>(α=10; β=1.5)</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0.3</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39.46</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13.77</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-23.87</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36.42</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10.38</w:t>
            </w:r>
          </w:p>
        </w:tc>
        <w:tc>
          <w:tcPr>
            <w:tcW w:w="0" w:type="auto"/>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-1.77</w:t>
            </w:r>
          </w:p>
        </w:tc>
      </w:tr>
      <w:tr w:rsidR="00E05BFE" w:rsidRPr="00E05BFE" w:rsidTr="00B97EDB">
        <w:trPr>
          <w:trHeight w:val="284"/>
        </w:trPr>
        <w:tc>
          <w:tcPr>
            <w:tcW w:w="0" w:type="auto"/>
            <w:vMerge/>
            <w:tcBorders>
              <w:top w:val="nil"/>
              <w:bottom w:val="nil"/>
            </w:tcBorders>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0.5</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33.48</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16.07</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1.75</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25.33</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20.78</w:t>
            </w:r>
          </w:p>
        </w:tc>
        <w:tc>
          <w:tcPr>
            <w:tcW w:w="0" w:type="auto"/>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-7.24</w:t>
            </w:r>
          </w:p>
        </w:tc>
      </w:tr>
      <w:tr w:rsidR="00E05BFE" w:rsidRPr="00E05BFE" w:rsidTr="00B97EDB">
        <w:trPr>
          <w:trHeight w:val="284"/>
        </w:trPr>
        <w:tc>
          <w:tcPr>
            <w:tcW w:w="0" w:type="auto"/>
            <w:vMerge/>
            <w:tcBorders>
              <w:top w:val="nil"/>
            </w:tcBorders>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p>
        </w:tc>
        <w:tc>
          <w:tcPr>
            <w:tcW w:w="0" w:type="auto"/>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0.7</w:t>
            </w:r>
          </w:p>
        </w:tc>
        <w:tc>
          <w:tcPr>
            <w:tcW w:w="0" w:type="auto"/>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29.94</w:t>
            </w:r>
          </w:p>
        </w:tc>
        <w:tc>
          <w:tcPr>
            <w:tcW w:w="0" w:type="auto"/>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15.10</w:t>
            </w:r>
          </w:p>
        </w:tc>
        <w:tc>
          <w:tcPr>
            <w:tcW w:w="0" w:type="auto"/>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16.47</w:t>
            </w:r>
          </w:p>
        </w:tc>
        <w:tc>
          <w:tcPr>
            <w:tcW w:w="0" w:type="auto"/>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19.25</w:t>
            </w:r>
          </w:p>
        </w:tc>
        <w:tc>
          <w:tcPr>
            <w:tcW w:w="0" w:type="auto"/>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28.52</w:t>
            </w:r>
          </w:p>
        </w:tc>
        <w:tc>
          <w:tcPr>
            <w:tcW w:w="0" w:type="auto"/>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5.31</w:t>
            </w:r>
          </w:p>
        </w:tc>
      </w:tr>
    </w:tbl>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The similar trend </w:t>
      </w:r>
      <w:r w:rsidRPr="00E05BFE">
        <w:rPr>
          <w:rFonts w:eastAsia="Times New Roman"/>
          <w:noProof/>
          <w:snapToGrid w:val="0"/>
          <w:szCs w:val="24"/>
          <w:lang w:val="en-US" w:eastAsia="en-US"/>
        </w:rPr>
        <w:t>is observed</w:t>
      </w:r>
      <w:r w:rsidRPr="00E05BFE">
        <w:rPr>
          <w:rFonts w:eastAsia="Times New Roman"/>
          <w:snapToGrid w:val="0"/>
          <w:szCs w:val="24"/>
          <w:lang w:val="en-US" w:eastAsia="en-US"/>
        </w:rPr>
        <w:t xml:space="preserve"> for the difference (defined in a </w:t>
      </w:r>
      <w:r w:rsidRPr="00E05BFE">
        <w:rPr>
          <w:rFonts w:eastAsia="Times New Roman"/>
          <w:noProof/>
          <w:snapToGrid w:val="0"/>
          <w:szCs w:val="24"/>
          <w:lang w:val="en-US" w:eastAsia="en-US"/>
        </w:rPr>
        <w:t>similar</w:t>
      </w:r>
      <w:r w:rsidRPr="00E05BFE">
        <w:rPr>
          <w:rFonts w:eastAsia="Times New Roman"/>
          <w:snapToGrid w:val="0"/>
          <w:szCs w:val="24"/>
          <w:lang w:val="en-US" w:eastAsia="en-US"/>
        </w:rPr>
        <w:t xml:space="preserve"> way as above) in the top floor displacement. Note that in the case of NFF, the difference becomes negative from positive as the PGA value </w:t>
      </w:r>
      <w:r w:rsidRPr="00E05BFE">
        <w:rPr>
          <w:rFonts w:eastAsia="Times New Roman"/>
          <w:noProof/>
          <w:snapToGrid w:val="0"/>
          <w:szCs w:val="24"/>
          <w:lang w:val="en-US" w:eastAsia="en-US"/>
        </w:rPr>
        <w:t>is increased</w:t>
      </w:r>
      <w:r w:rsidRPr="00E05BFE">
        <w:rPr>
          <w:rFonts w:eastAsia="Times New Roman"/>
          <w:snapToGrid w:val="0"/>
          <w:szCs w:val="24"/>
          <w:lang w:val="en-US" w:eastAsia="en-US"/>
        </w:rPr>
        <w:t xml:space="preserve"> for SR frames.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i/>
          <w:iCs/>
          <w:snapToGrid w:val="0"/>
          <w:szCs w:val="24"/>
          <w:lang w:val="en-US" w:eastAsia="en-US"/>
        </w:rPr>
      </w:pPr>
      <w:r w:rsidRPr="00E05BFE">
        <w:rPr>
          <w:rFonts w:eastAsia="Times New Roman"/>
          <w:i/>
          <w:iCs/>
          <w:snapToGrid w:val="0"/>
          <w:szCs w:val="24"/>
          <w:lang w:val="en-US" w:eastAsia="en-US"/>
        </w:rPr>
        <w:t>4.2.2 Comparison of maximum story drifts (SD</w:t>
      </w:r>
      <w:r w:rsidRPr="00E05BFE">
        <w:rPr>
          <w:rFonts w:eastAsia="Times New Roman"/>
          <w:i/>
          <w:iCs/>
          <w:snapToGrid w:val="0"/>
          <w:szCs w:val="24"/>
          <w:vertAlign w:val="subscript"/>
          <w:lang w:val="en-US" w:eastAsia="en-US"/>
        </w:rPr>
        <w:t>max</w:t>
      </w:r>
      <w:r w:rsidRPr="00E05BFE">
        <w:rPr>
          <w:rFonts w:eastAsia="Times New Roman"/>
          <w:i/>
          <w:iCs/>
          <w:snapToGrid w:val="0"/>
          <w:szCs w:val="24"/>
          <w:lang w:val="en-US" w:eastAsia="en-US"/>
        </w:rPr>
        <w:t xml:space="preserve">) between POA and NLTHA </w:t>
      </w:r>
    </w:p>
    <w:p w:rsidR="00E05BFE" w:rsidRPr="00E05BFE" w:rsidRDefault="00E05BFE" w:rsidP="00E05BFE">
      <w:pPr>
        <w:widowControl w:val="0"/>
        <w:spacing w:after="0" w:line="240" w:lineRule="auto"/>
        <w:jc w:val="both"/>
        <w:rPr>
          <w:rFonts w:eastAsia="Times New Roman"/>
          <w:i/>
          <w:iCs/>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Figure 3 compares the maximum story drifts obtained by POA and NTHA. It </w:t>
      </w:r>
      <w:r w:rsidRPr="00E05BFE">
        <w:rPr>
          <w:rFonts w:eastAsia="Times New Roman"/>
          <w:noProof/>
          <w:snapToGrid w:val="0"/>
          <w:szCs w:val="24"/>
          <w:lang w:val="en-US" w:eastAsia="en-US"/>
        </w:rPr>
        <w:t>is seen</w:t>
      </w:r>
      <w:r w:rsidRPr="00E05BFE">
        <w:rPr>
          <w:rFonts w:eastAsia="Times New Roman"/>
          <w:snapToGrid w:val="0"/>
          <w:szCs w:val="24"/>
          <w:lang w:val="en-US" w:eastAsia="en-US"/>
        </w:rPr>
        <w:t xml:space="preserve"> from F</w:t>
      </w:r>
      <w:r w:rsidRPr="00E05BFE">
        <w:rPr>
          <w:rFonts w:eastAsia="Times New Roman"/>
          <w:noProof/>
          <w:snapToGrid w:val="0"/>
          <w:szCs w:val="24"/>
          <w:lang w:val="en-US" w:eastAsia="en-US"/>
        </w:rPr>
        <w:t>igure</w:t>
      </w:r>
      <w:r w:rsidRPr="00E05BFE">
        <w:rPr>
          <w:rFonts w:eastAsia="Times New Roman"/>
          <w:snapToGrid w:val="0"/>
          <w:szCs w:val="24"/>
          <w:lang w:val="en-US" w:eastAsia="en-US"/>
        </w:rPr>
        <w:t xml:space="preserve"> 3 that the maximum story </w:t>
      </w:r>
      <w:r w:rsidRPr="00E05BFE">
        <w:rPr>
          <w:rFonts w:eastAsia="Times New Roman"/>
          <w:noProof/>
          <w:snapToGrid w:val="0"/>
          <w:szCs w:val="24"/>
          <w:lang w:val="en-US" w:eastAsia="en-US"/>
        </w:rPr>
        <w:t xml:space="preserve">drifts </w:t>
      </w:r>
      <w:r w:rsidRPr="00E05BFE">
        <w:rPr>
          <w:rFonts w:eastAsia="Times New Roman"/>
          <w:snapToGrid w:val="0"/>
          <w:szCs w:val="24"/>
          <w:lang w:val="en-US" w:eastAsia="en-US"/>
        </w:rPr>
        <w:t xml:space="preserve">are more for the near field earthquakes as compared to the far field earthquakes. </w:t>
      </w:r>
      <w:r w:rsidRPr="00E05BFE">
        <w:rPr>
          <w:rFonts w:eastAsia="Times New Roman"/>
          <w:snapToGrid w:val="0"/>
          <w:szCs w:val="24"/>
          <w:lang w:val="en-US" w:eastAsia="en-US"/>
        </w:rPr>
        <w:lastRenderedPageBreak/>
        <w:t xml:space="preserve">Further, the maximum story drifts increase with the increase in the PGA value and are more for the SR frames. The differences between the maximum story drifts obtained by POA and NTHA for different </w:t>
      </w:r>
      <w:r w:rsidRPr="00E05BFE">
        <w:rPr>
          <w:rFonts w:eastAsia="Times New Roman"/>
          <w:noProof/>
          <w:snapToGrid w:val="0"/>
          <w:szCs w:val="24"/>
          <w:lang w:val="en-US" w:eastAsia="en-US"/>
        </w:rPr>
        <w:t>cases remain</w:t>
      </w:r>
      <w:r w:rsidRPr="00E05BFE">
        <w:rPr>
          <w:rFonts w:eastAsia="Times New Roman"/>
          <w:snapToGrid w:val="0"/>
          <w:szCs w:val="24"/>
          <w:lang w:val="en-US" w:eastAsia="en-US"/>
        </w:rPr>
        <w:t xml:space="preserve"> nearly the same for both types of </w:t>
      </w:r>
      <w:r w:rsidRPr="00E05BFE">
        <w:rPr>
          <w:rFonts w:eastAsia="Times New Roman"/>
          <w:noProof/>
          <w:snapToGrid w:val="0"/>
          <w:szCs w:val="24"/>
          <w:lang w:val="en-US" w:eastAsia="en-US"/>
        </w:rPr>
        <w:t>frames</w:t>
      </w:r>
      <w:r w:rsidRPr="00E05BFE">
        <w:rPr>
          <w:rFonts w:eastAsia="Times New Roman"/>
          <w:snapToGrid w:val="0"/>
          <w:szCs w:val="24"/>
          <w:lang w:val="en-US" w:eastAsia="en-US"/>
        </w:rPr>
        <w:t>. The difference is found to be the maximum for the NFD earthquake.</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noProof/>
          <w:snapToGrid w:val="0"/>
          <w:szCs w:val="24"/>
        </w:rPr>
        <w:drawing>
          <wp:inline distT="0" distB="0" distL="0" distR="0" wp14:anchorId="6B503608" wp14:editId="7F35C857">
            <wp:extent cx="5767595" cy="2187611"/>
            <wp:effectExtent l="19050" t="0" r="4555" b="0"/>
            <wp:docPr id="7" name="Picture 7" descr="D:\Vijay Sharma\SAP DIRECTORY\Conference 3_16WCSI Russia\Paper 2 Performance Level_POA and NLTHA\Response Result\Origin Plots\4a SD FRC 16WCSI-FRC &amp; S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jay Sharma\SAP DIRECTORY\Conference 3_16WCSI Russia\Paper 2 Performance Level_POA and NLTHA\Response Result\Origin Plots\4a SD FRC 16WCSI-FRC &amp; Sr-1.jpg"/>
                    <pic:cNvPicPr>
                      <a:picLocks noChangeAspect="1" noChangeArrowheads="1"/>
                    </pic:cNvPicPr>
                  </pic:nvPicPr>
                  <pic:blipFill>
                    <a:blip r:embed="rId12" cstate="print"/>
                    <a:srcRect l="2163" t="7801" r="5765" b="2881"/>
                    <a:stretch>
                      <a:fillRect/>
                    </a:stretch>
                  </pic:blipFill>
                  <pic:spPr bwMode="auto">
                    <a:xfrm>
                      <a:off x="0" y="0"/>
                      <a:ext cx="5767595" cy="2187611"/>
                    </a:xfrm>
                    <a:prstGeom prst="rect">
                      <a:avLst/>
                    </a:prstGeom>
                    <a:noFill/>
                    <a:ln w="9525">
                      <a:noFill/>
                      <a:miter lim="800000"/>
                      <a:headEnd/>
                      <a:tailEnd/>
                    </a:ln>
                  </pic:spPr>
                </pic:pic>
              </a:graphicData>
            </a:graphic>
          </wp:inline>
        </w:drawing>
      </w:r>
    </w:p>
    <w:p w:rsidR="00E05BFE" w:rsidRPr="00E05BFE" w:rsidRDefault="00E05BFE" w:rsidP="00E05BFE">
      <w:pPr>
        <w:widowControl w:val="0"/>
        <w:numPr>
          <w:ilvl w:val="0"/>
          <w:numId w:val="6"/>
        </w:numPr>
        <w:spacing w:after="0" w:line="240" w:lineRule="auto"/>
        <w:contextualSpacing/>
        <w:jc w:val="both"/>
        <w:rPr>
          <w:rFonts w:eastAsia="Times New Roman"/>
          <w:snapToGrid w:val="0"/>
          <w:szCs w:val="20"/>
          <w:lang w:val="en-US" w:eastAsia="en-US"/>
        </w:rPr>
      </w:pPr>
      <w:r w:rsidRPr="00E05BFE">
        <w:rPr>
          <w:rFonts w:eastAsia="Times New Roman"/>
          <w:snapToGrid w:val="0"/>
          <w:szCs w:val="20"/>
          <w:lang w:val="en-US" w:eastAsia="en-US"/>
        </w:rPr>
        <w:t>(b)</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center"/>
        <w:rPr>
          <w:rFonts w:eastAsia="Times New Roman"/>
          <w:snapToGrid w:val="0"/>
          <w:sz w:val="20"/>
          <w:szCs w:val="24"/>
          <w:lang w:val="en-US" w:eastAsia="en-US"/>
        </w:rPr>
      </w:pPr>
      <w:r w:rsidRPr="00E05BFE">
        <w:rPr>
          <w:rFonts w:eastAsia="Times New Roman"/>
          <w:snapToGrid w:val="0"/>
          <w:sz w:val="20"/>
          <w:szCs w:val="24"/>
          <w:lang w:val="en-US" w:eastAsia="en-US"/>
        </w:rPr>
        <w:t>Figure 3. Comparison Of Maximum Story Drift Responses In (A) FRC And (B) SR-1 Frame For Different Types Of Earthquakes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center"/>
        <w:rPr>
          <w:rFonts w:eastAsia="Times New Roman"/>
          <w:snapToGrid w:val="0"/>
          <w:szCs w:val="24"/>
          <w:lang w:val="en-US" w:eastAsia="en-US"/>
        </w:rPr>
      </w:pPr>
      <w:r w:rsidRPr="00E05BFE">
        <w:rPr>
          <w:rFonts w:eastAsia="Times New Roman"/>
          <w:noProof/>
          <w:snapToGrid w:val="0"/>
          <w:szCs w:val="24"/>
        </w:rPr>
        <w:drawing>
          <wp:inline distT="0" distB="0" distL="0" distR="0" wp14:anchorId="0BAC3948" wp14:editId="691E339B">
            <wp:extent cx="4326239" cy="3165819"/>
            <wp:effectExtent l="19050" t="0" r="0" b="0"/>
            <wp:docPr id="8" name="Picture 1" descr="D:\PHD\Research Literature Paper\Paper Vijay\Conference Paper 3_ 16WCSI_ St Petersberg Russia\Paper 2 Performance Level_POA and NLTHA\Response Result\Origin Plots\IDR_16W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Research Literature Paper\Paper Vijay\Conference Paper 3_ 16WCSI_ St Petersberg Russia\Paper 2 Performance Level_POA and NLTHA\Response Result\Origin Plots\IDR_16WCSI.jpg"/>
                    <pic:cNvPicPr>
                      <a:picLocks noChangeAspect="1" noChangeArrowheads="1"/>
                    </pic:cNvPicPr>
                  </pic:nvPicPr>
                  <pic:blipFill>
                    <a:blip r:embed="rId13" cstate="print"/>
                    <a:srcRect t="7143" r="1918"/>
                    <a:stretch>
                      <a:fillRect/>
                    </a:stretch>
                  </pic:blipFill>
                  <pic:spPr bwMode="auto">
                    <a:xfrm>
                      <a:off x="0" y="0"/>
                      <a:ext cx="4329079" cy="3167897"/>
                    </a:xfrm>
                    <a:prstGeom prst="rect">
                      <a:avLst/>
                    </a:prstGeom>
                    <a:noFill/>
                    <a:ln w="9525">
                      <a:noFill/>
                      <a:miter lim="800000"/>
                      <a:headEnd/>
                      <a:tailEnd/>
                    </a:ln>
                  </pic:spPr>
                </pic:pic>
              </a:graphicData>
            </a:graphic>
          </wp:inline>
        </w:drawing>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center"/>
        <w:rPr>
          <w:rFonts w:eastAsia="Times New Roman"/>
          <w:snapToGrid w:val="0"/>
          <w:sz w:val="20"/>
          <w:szCs w:val="24"/>
          <w:lang w:val="en-US" w:eastAsia="en-US"/>
        </w:rPr>
      </w:pPr>
      <w:r w:rsidRPr="00E05BFE">
        <w:rPr>
          <w:rFonts w:eastAsia="Times New Roman"/>
          <w:snapToGrid w:val="0"/>
          <w:sz w:val="20"/>
          <w:szCs w:val="24"/>
          <w:lang w:val="en-US" w:eastAsia="en-US"/>
        </w:rPr>
        <w:t xml:space="preserve">Figure 4. Variation Of Maximum Inter-story Drift Ratio (IDR %) Along The Height At 0.3g PGA (a) FRC_5S (b) SR-1_5S ; And At 0.5g PGA (c) FRC_5S (d) SR-1_5S </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Figure 4 shows the variations of </w:t>
      </w:r>
      <w:r w:rsidRPr="00E05BFE">
        <w:rPr>
          <w:rFonts w:eastAsia="Times New Roman"/>
          <w:noProof/>
          <w:snapToGrid w:val="0"/>
          <w:szCs w:val="24"/>
          <w:lang w:val="en-US" w:eastAsia="en-US"/>
        </w:rPr>
        <w:t>the maximum</w:t>
      </w:r>
      <w:r w:rsidRPr="00E05BFE">
        <w:rPr>
          <w:rFonts w:eastAsia="Times New Roman"/>
          <w:snapToGrid w:val="0"/>
          <w:szCs w:val="24"/>
          <w:lang w:val="en-US" w:eastAsia="en-US"/>
        </w:rPr>
        <w:t xml:space="preserve"> inter-story drift ratio along the height of the </w:t>
      </w:r>
      <w:r w:rsidRPr="00E05BFE">
        <w:rPr>
          <w:rFonts w:eastAsia="Times New Roman"/>
          <w:noProof/>
          <w:snapToGrid w:val="0"/>
          <w:szCs w:val="24"/>
          <w:lang w:val="en-US" w:eastAsia="en-US"/>
        </w:rPr>
        <w:t>frame as</w:t>
      </w:r>
      <w:r w:rsidRPr="00E05BFE">
        <w:rPr>
          <w:rFonts w:eastAsia="Times New Roman"/>
          <w:snapToGrid w:val="0"/>
          <w:szCs w:val="24"/>
          <w:lang w:val="en-US" w:eastAsia="en-US"/>
        </w:rPr>
        <w:t xml:space="preserve"> obtained by </w:t>
      </w:r>
      <w:r w:rsidRPr="00E05BFE">
        <w:rPr>
          <w:rFonts w:eastAsia="Times New Roman"/>
          <w:noProof/>
          <w:snapToGrid w:val="0"/>
          <w:szCs w:val="24"/>
          <w:lang w:val="en-US" w:eastAsia="en-US"/>
        </w:rPr>
        <w:t>NTHA</w:t>
      </w:r>
      <w:r w:rsidRPr="00E05BFE">
        <w:rPr>
          <w:rFonts w:eastAsia="Times New Roman"/>
          <w:snapToGrid w:val="0"/>
          <w:szCs w:val="24"/>
          <w:lang w:val="en-US" w:eastAsia="en-US"/>
        </w:rPr>
        <w:t xml:space="preserve"> and POA. It </w:t>
      </w:r>
      <w:r w:rsidRPr="00E05BFE">
        <w:rPr>
          <w:rFonts w:eastAsia="Times New Roman"/>
          <w:noProof/>
          <w:snapToGrid w:val="0"/>
          <w:szCs w:val="24"/>
          <w:lang w:val="en-US" w:eastAsia="en-US"/>
        </w:rPr>
        <w:t>is seen</w:t>
      </w:r>
      <w:r w:rsidRPr="00E05BFE">
        <w:rPr>
          <w:rFonts w:eastAsia="Times New Roman"/>
          <w:snapToGrid w:val="0"/>
          <w:szCs w:val="24"/>
          <w:lang w:val="en-US" w:eastAsia="en-US"/>
        </w:rPr>
        <w:t xml:space="preserve"> from F</w:t>
      </w:r>
      <w:r w:rsidRPr="00E05BFE">
        <w:rPr>
          <w:rFonts w:eastAsia="Times New Roman"/>
          <w:noProof/>
          <w:snapToGrid w:val="0"/>
          <w:szCs w:val="24"/>
          <w:lang w:val="en-US" w:eastAsia="en-US"/>
        </w:rPr>
        <w:t>igure</w:t>
      </w:r>
      <w:r w:rsidRPr="00E05BFE">
        <w:rPr>
          <w:rFonts w:eastAsia="Times New Roman"/>
          <w:snapToGrid w:val="0"/>
          <w:szCs w:val="24"/>
          <w:lang w:val="en-US" w:eastAsia="en-US"/>
        </w:rPr>
        <w:t xml:space="preserve"> 4 that the maximum </w:t>
      </w:r>
      <w:r w:rsidRPr="00E05BFE">
        <w:rPr>
          <w:rFonts w:eastAsia="Times New Roman"/>
          <w:noProof/>
          <w:snapToGrid w:val="0"/>
          <w:szCs w:val="24"/>
          <w:lang w:val="en-US" w:eastAsia="en-US"/>
        </w:rPr>
        <w:t>inter-story</w:t>
      </w:r>
      <w:r w:rsidRPr="00E05BFE">
        <w:rPr>
          <w:rFonts w:eastAsia="Times New Roman"/>
          <w:snapToGrid w:val="0"/>
          <w:szCs w:val="24"/>
          <w:lang w:val="en-US" w:eastAsia="en-US"/>
        </w:rPr>
        <w:t xml:space="preserve"> drift peaks nearly at the third </w:t>
      </w:r>
      <w:r w:rsidRPr="00E05BFE">
        <w:rPr>
          <w:rFonts w:eastAsia="Times New Roman"/>
          <w:noProof/>
          <w:snapToGrid w:val="0"/>
          <w:szCs w:val="24"/>
          <w:lang w:val="en-US" w:eastAsia="en-US"/>
        </w:rPr>
        <w:t>story</w:t>
      </w:r>
      <w:r w:rsidRPr="00E05BFE">
        <w:rPr>
          <w:rFonts w:eastAsia="Times New Roman"/>
          <w:snapToGrid w:val="0"/>
          <w:szCs w:val="24"/>
          <w:lang w:val="en-US" w:eastAsia="en-US"/>
        </w:rPr>
        <w:t xml:space="preserve"> for all cases. Further, the pattern of the variation remains the same for all </w:t>
      </w:r>
      <w:r w:rsidRPr="00E05BFE">
        <w:rPr>
          <w:rFonts w:eastAsia="Times New Roman"/>
          <w:noProof/>
          <w:snapToGrid w:val="0"/>
          <w:szCs w:val="24"/>
          <w:lang w:val="en-US" w:eastAsia="en-US"/>
        </w:rPr>
        <w:t>cases</w:t>
      </w:r>
      <w:r w:rsidRPr="00E05BFE">
        <w:rPr>
          <w:rFonts w:eastAsia="Times New Roman"/>
          <w:snapToGrid w:val="0"/>
          <w:szCs w:val="24"/>
          <w:lang w:val="en-US" w:eastAsia="en-US"/>
        </w:rPr>
        <w:t xml:space="preserve"> for both types of the frame. </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i/>
          <w:iCs/>
          <w:snapToGrid w:val="0"/>
          <w:szCs w:val="24"/>
          <w:lang w:val="en-US" w:eastAsia="en-US"/>
        </w:rPr>
      </w:pPr>
      <w:r w:rsidRPr="00E05BFE">
        <w:rPr>
          <w:rFonts w:eastAsia="Times New Roman"/>
          <w:i/>
          <w:iCs/>
          <w:snapToGrid w:val="0"/>
          <w:szCs w:val="24"/>
          <w:lang w:val="en-US" w:eastAsia="en-US"/>
        </w:rPr>
        <w:t xml:space="preserve">4.2.3 Comparison of inelastic effects (total plastic hinge formation and SRSS of hinge rotations) between POA and NTHA </w:t>
      </w:r>
    </w:p>
    <w:p w:rsidR="00E05BFE" w:rsidRPr="00E05BFE" w:rsidRDefault="00E05BFE" w:rsidP="00E05BFE">
      <w:pPr>
        <w:widowControl w:val="0"/>
        <w:spacing w:after="0" w:line="240" w:lineRule="auto"/>
        <w:jc w:val="both"/>
        <w:rPr>
          <w:rFonts w:eastAsia="Times New Roman"/>
          <w:i/>
          <w:iCs/>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lastRenderedPageBreak/>
        <w:t xml:space="preserve">Table 4 shows the formation of plastic hinges in the FRC and the SR frames at a </w:t>
      </w:r>
      <w:r w:rsidRPr="00E05BFE">
        <w:rPr>
          <w:rFonts w:eastAsia="Times New Roman"/>
          <w:noProof/>
          <w:snapToGrid w:val="0"/>
          <w:szCs w:val="24"/>
          <w:lang w:val="en-US" w:eastAsia="en-US"/>
        </w:rPr>
        <w:t>PGA</w:t>
      </w:r>
      <w:r w:rsidRPr="00E05BFE">
        <w:rPr>
          <w:rFonts w:eastAsia="Times New Roman"/>
          <w:snapToGrid w:val="0"/>
          <w:szCs w:val="24"/>
          <w:lang w:val="en-US" w:eastAsia="en-US"/>
        </w:rPr>
        <w:t xml:space="preserve"> level of 0.7g. The table distinguishes the formation of hinges in three performance levels (IO, LS, </w:t>
      </w:r>
      <w:r w:rsidRPr="00E05BFE">
        <w:rPr>
          <w:rFonts w:eastAsia="Times New Roman"/>
          <w:noProof/>
          <w:snapToGrid w:val="0"/>
          <w:szCs w:val="24"/>
          <w:lang w:val="en-US" w:eastAsia="en-US"/>
        </w:rPr>
        <w:t>and</w:t>
      </w:r>
      <w:r w:rsidRPr="00E05BFE">
        <w:rPr>
          <w:rFonts w:eastAsia="Times New Roman"/>
          <w:snapToGrid w:val="0"/>
          <w:szCs w:val="24"/>
          <w:lang w:val="en-US" w:eastAsia="en-US"/>
        </w:rPr>
        <w:t xml:space="preserve"> CP) defined as per ASCE-41-13. It </w:t>
      </w:r>
      <w:r w:rsidRPr="00E05BFE">
        <w:rPr>
          <w:rFonts w:eastAsia="Times New Roman"/>
          <w:noProof/>
          <w:snapToGrid w:val="0"/>
          <w:szCs w:val="24"/>
          <w:lang w:val="en-US" w:eastAsia="en-US"/>
        </w:rPr>
        <w:t>is observed</w:t>
      </w:r>
      <w:r w:rsidRPr="00E05BFE">
        <w:rPr>
          <w:rFonts w:eastAsia="Times New Roman"/>
          <w:snapToGrid w:val="0"/>
          <w:szCs w:val="24"/>
          <w:lang w:val="en-US" w:eastAsia="en-US"/>
        </w:rPr>
        <w:t xml:space="preserve"> from the </w:t>
      </w:r>
      <w:r w:rsidRPr="00E05BFE">
        <w:rPr>
          <w:rFonts w:eastAsia="Times New Roman"/>
          <w:noProof/>
          <w:snapToGrid w:val="0"/>
          <w:szCs w:val="24"/>
          <w:lang w:val="en-US" w:eastAsia="en-US"/>
        </w:rPr>
        <w:t>table</w:t>
      </w:r>
      <w:r w:rsidRPr="00E05BFE">
        <w:rPr>
          <w:rFonts w:eastAsia="Times New Roman"/>
          <w:snapToGrid w:val="0"/>
          <w:szCs w:val="24"/>
          <w:lang w:val="en-US" w:eastAsia="en-US"/>
        </w:rPr>
        <w:t xml:space="preserve"> that the maximum numbers of plastic hinges are formed in FRC frames in both NTHA and POA as expected; NTHA provides </w:t>
      </w:r>
      <w:r w:rsidRPr="00E05BFE">
        <w:rPr>
          <w:rFonts w:eastAsia="Times New Roman"/>
          <w:noProof/>
          <w:snapToGrid w:val="0"/>
          <w:szCs w:val="24"/>
          <w:lang w:val="en-US" w:eastAsia="en-US"/>
        </w:rPr>
        <w:t>more</w:t>
      </w:r>
      <w:r w:rsidRPr="00E05BFE">
        <w:rPr>
          <w:rFonts w:eastAsia="Times New Roman"/>
          <w:snapToGrid w:val="0"/>
          <w:szCs w:val="24"/>
          <w:lang w:val="en-US" w:eastAsia="en-US"/>
        </w:rPr>
        <w:t xml:space="preserve"> number of plastic hinges. The numbers of total hinges are more </w:t>
      </w:r>
      <w:r w:rsidRPr="00E05BFE">
        <w:rPr>
          <w:rFonts w:eastAsia="Times New Roman"/>
          <w:noProof/>
          <w:snapToGrid w:val="0"/>
          <w:szCs w:val="24"/>
          <w:lang w:val="en-US" w:eastAsia="en-US"/>
        </w:rPr>
        <w:t xml:space="preserve">in the </w:t>
      </w:r>
      <w:r w:rsidRPr="00E05BFE">
        <w:rPr>
          <w:rFonts w:eastAsia="Times New Roman"/>
          <w:snapToGrid w:val="0"/>
          <w:szCs w:val="24"/>
          <w:lang w:val="en-US" w:eastAsia="en-US"/>
        </w:rPr>
        <w:t xml:space="preserve">NFD and the NFF earthquakes as compared to the FF earthquake. Further, the number of hinges in the B-IO range is much more than that in the IO-LS range. As it would </w:t>
      </w:r>
      <w:r w:rsidRPr="00E05BFE">
        <w:rPr>
          <w:rFonts w:eastAsia="Times New Roman"/>
          <w:noProof/>
          <w:snapToGrid w:val="0"/>
          <w:szCs w:val="24"/>
          <w:lang w:val="en-US" w:eastAsia="en-US"/>
        </w:rPr>
        <w:t>be expected</w:t>
      </w:r>
      <w:r w:rsidRPr="00E05BFE">
        <w:rPr>
          <w:rFonts w:eastAsia="Times New Roman"/>
          <w:snapToGrid w:val="0"/>
          <w:szCs w:val="24"/>
          <w:lang w:val="en-US" w:eastAsia="en-US"/>
        </w:rPr>
        <w:t>, the number of hinges is far less for the SR frames because of more energy dissipation.</w:t>
      </w: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The SRSS of maximum plastic hinge rotations shown in Table.5 provides additional information regarding the inelasticity in the frames. The SRSS </w:t>
      </w:r>
      <w:r w:rsidRPr="00E05BFE">
        <w:rPr>
          <w:rFonts w:eastAsia="Times New Roman"/>
          <w:noProof/>
          <w:snapToGrid w:val="0"/>
          <w:szCs w:val="24"/>
          <w:lang w:val="en-US" w:eastAsia="en-US"/>
        </w:rPr>
        <w:t xml:space="preserve">values increase </w:t>
      </w:r>
      <w:r w:rsidRPr="00E05BFE">
        <w:rPr>
          <w:rFonts w:eastAsia="Times New Roman"/>
          <w:snapToGrid w:val="0"/>
          <w:szCs w:val="24"/>
          <w:lang w:val="en-US" w:eastAsia="en-US"/>
        </w:rPr>
        <w:t xml:space="preserve">with the increase in the PGA level. Further, SRSS of plastic hinge rotations in the SR frames is much less as compared to the FRC frames indicating that the SR frames undergo </w:t>
      </w:r>
      <w:r w:rsidRPr="00E05BFE">
        <w:rPr>
          <w:rFonts w:eastAsia="Times New Roman"/>
          <w:noProof/>
          <w:snapToGrid w:val="0"/>
          <w:szCs w:val="24"/>
          <w:lang w:val="en-US" w:eastAsia="en-US"/>
        </w:rPr>
        <w:t>less</w:t>
      </w:r>
      <w:r w:rsidRPr="00E05BFE">
        <w:rPr>
          <w:rFonts w:eastAsia="Times New Roman"/>
          <w:snapToGrid w:val="0"/>
          <w:szCs w:val="24"/>
          <w:lang w:val="en-US" w:eastAsia="en-US"/>
        </w:rPr>
        <w:t xml:space="preserve"> inelastic excursion</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center"/>
        <w:rPr>
          <w:rFonts w:eastAsia="Times New Roman"/>
          <w:snapToGrid w:val="0"/>
          <w:sz w:val="20"/>
          <w:szCs w:val="24"/>
          <w:lang w:val="en-US" w:eastAsia="en-US"/>
        </w:rPr>
      </w:pPr>
      <w:r w:rsidRPr="00E05BFE">
        <w:rPr>
          <w:rFonts w:eastAsia="Times New Roman"/>
          <w:snapToGrid w:val="0"/>
          <w:sz w:val="20"/>
          <w:szCs w:val="24"/>
          <w:lang w:val="en-US" w:eastAsia="en-US"/>
        </w:rPr>
        <w:t>Table 4. Comparison of Total Plastic hinges formed in frames at 0.7g PGA Level in NTHA and POA</w:t>
      </w:r>
    </w:p>
    <w:p w:rsidR="00E05BFE" w:rsidRPr="00E05BFE" w:rsidRDefault="00E05BFE" w:rsidP="00E05BFE">
      <w:pPr>
        <w:widowControl w:val="0"/>
        <w:spacing w:after="0" w:line="240" w:lineRule="auto"/>
        <w:jc w:val="both"/>
        <w:rPr>
          <w:rFonts w:eastAsia="Times New Roman"/>
          <w:snapToGrid w:val="0"/>
          <w:szCs w:val="24"/>
          <w:lang w:val="en-US" w:eastAsia="en-US"/>
        </w:rPr>
      </w:pPr>
    </w:p>
    <w:tbl>
      <w:tblPr>
        <w:tblW w:w="5000" w:type="pct"/>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172"/>
        <w:gridCol w:w="1438"/>
        <w:gridCol w:w="958"/>
        <w:gridCol w:w="810"/>
        <w:gridCol w:w="909"/>
        <w:gridCol w:w="946"/>
        <w:gridCol w:w="909"/>
        <w:gridCol w:w="940"/>
        <w:gridCol w:w="909"/>
        <w:gridCol w:w="863"/>
      </w:tblGrid>
      <w:tr w:rsidR="00E05BFE" w:rsidRPr="00E05BFE" w:rsidTr="00B97EDB">
        <w:trPr>
          <w:cantSplit/>
          <w:trHeight w:val="284"/>
        </w:trPr>
        <w:tc>
          <w:tcPr>
            <w:tcW w:w="595" w:type="pct"/>
            <w:vMerge w:val="restart"/>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 xml:space="preserve">Frame ID  </w:t>
            </w:r>
          </w:p>
        </w:tc>
        <w:tc>
          <w:tcPr>
            <w:tcW w:w="730" w:type="pct"/>
            <w:vMerge w:val="restart"/>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 xml:space="preserve">Earthquake Type </w:t>
            </w:r>
          </w:p>
        </w:tc>
        <w:tc>
          <w:tcPr>
            <w:tcW w:w="2776" w:type="pct"/>
            <w:gridSpan w:val="6"/>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 xml:space="preserve">Total Number Of Plastic Hinges </w:t>
            </w:r>
          </w:p>
        </w:tc>
        <w:tc>
          <w:tcPr>
            <w:tcW w:w="899" w:type="pct"/>
            <w:gridSpan w:val="2"/>
            <w:vMerge w:val="restart"/>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Total Hinges</w:t>
            </w:r>
          </w:p>
        </w:tc>
      </w:tr>
      <w:tr w:rsidR="00E05BFE" w:rsidRPr="00E05BFE" w:rsidTr="00B97EDB">
        <w:trPr>
          <w:cantSplit/>
          <w:trHeight w:val="284"/>
        </w:trPr>
        <w:tc>
          <w:tcPr>
            <w:tcW w:w="595" w:type="pct"/>
            <w:vMerge/>
            <w:vAlign w:val="center"/>
            <w:hideMark/>
          </w:tcPr>
          <w:p w:rsidR="00E05BFE" w:rsidRPr="00E05BFE" w:rsidRDefault="00E05BFE" w:rsidP="00E05BFE">
            <w:pPr>
              <w:widowControl w:val="0"/>
              <w:spacing w:after="0" w:line="240" w:lineRule="auto"/>
              <w:jc w:val="both"/>
              <w:rPr>
                <w:rFonts w:eastAsia="Times New Roman"/>
                <w:b/>
                <w:bCs/>
                <w:snapToGrid w:val="0"/>
                <w:color w:val="000000"/>
                <w:szCs w:val="24"/>
                <w:lang w:val="en-US" w:eastAsia="en-US"/>
              </w:rPr>
            </w:pPr>
          </w:p>
        </w:tc>
        <w:tc>
          <w:tcPr>
            <w:tcW w:w="730" w:type="pct"/>
            <w:vMerge/>
            <w:vAlign w:val="center"/>
            <w:hideMark/>
          </w:tcPr>
          <w:p w:rsidR="00E05BFE" w:rsidRPr="00E05BFE" w:rsidRDefault="00E05BFE" w:rsidP="00E05BFE">
            <w:pPr>
              <w:widowControl w:val="0"/>
              <w:spacing w:after="0" w:line="240" w:lineRule="auto"/>
              <w:jc w:val="both"/>
              <w:rPr>
                <w:rFonts w:eastAsia="Times New Roman"/>
                <w:b/>
                <w:bCs/>
                <w:snapToGrid w:val="0"/>
                <w:color w:val="000000"/>
                <w:szCs w:val="24"/>
                <w:lang w:val="en-US" w:eastAsia="en-US"/>
              </w:rPr>
            </w:pPr>
          </w:p>
        </w:tc>
        <w:tc>
          <w:tcPr>
            <w:tcW w:w="897" w:type="pct"/>
            <w:gridSpan w:val="2"/>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B-IO</w:t>
            </w:r>
          </w:p>
        </w:tc>
        <w:tc>
          <w:tcPr>
            <w:tcW w:w="941" w:type="pct"/>
            <w:gridSpan w:val="2"/>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IO-LS</w:t>
            </w:r>
          </w:p>
        </w:tc>
        <w:tc>
          <w:tcPr>
            <w:tcW w:w="938" w:type="pct"/>
            <w:gridSpan w:val="2"/>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LS-CP</w:t>
            </w:r>
          </w:p>
        </w:tc>
        <w:tc>
          <w:tcPr>
            <w:tcW w:w="899" w:type="pct"/>
            <w:gridSpan w:val="2"/>
            <w:vMerge/>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p>
        </w:tc>
      </w:tr>
      <w:tr w:rsidR="00E05BFE" w:rsidRPr="00E05BFE" w:rsidTr="00B97EDB">
        <w:trPr>
          <w:cantSplit/>
          <w:trHeight w:val="284"/>
        </w:trPr>
        <w:tc>
          <w:tcPr>
            <w:tcW w:w="595" w:type="pct"/>
            <w:vMerge/>
            <w:vAlign w:val="center"/>
            <w:hideMark/>
          </w:tcPr>
          <w:p w:rsidR="00E05BFE" w:rsidRPr="00E05BFE" w:rsidRDefault="00E05BFE" w:rsidP="00E05BFE">
            <w:pPr>
              <w:widowControl w:val="0"/>
              <w:spacing w:after="0" w:line="240" w:lineRule="auto"/>
              <w:jc w:val="both"/>
              <w:rPr>
                <w:rFonts w:eastAsia="Times New Roman"/>
                <w:b/>
                <w:bCs/>
                <w:snapToGrid w:val="0"/>
                <w:color w:val="000000"/>
                <w:szCs w:val="24"/>
                <w:lang w:val="en-US" w:eastAsia="en-US"/>
              </w:rPr>
            </w:pPr>
          </w:p>
        </w:tc>
        <w:tc>
          <w:tcPr>
            <w:tcW w:w="730" w:type="pct"/>
            <w:vMerge/>
            <w:tcBorders>
              <w:bottom w:val="single" w:sz="8" w:space="0" w:color="auto"/>
            </w:tcBorders>
            <w:vAlign w:val="center"/>
            <w:hideMark/>
          </w:tcPr>
          <w:p w:rsidR="00E05BFE" w:rsidRPr="00E05BFE" w:rsidRDefault="00E05BFE" w:rsidP="00E05BFE">
            <w:pPr>
              <w:widowControl w:val="0"/>
              <w:spacing w:after="0" w:line="240" w:lineRule="auto"/>
              <w:jc w:val="both"/>
              <w:rPr>
                <w:rFonts w:eastAsia="Times New Roman"/>
                <w:b/>
                <w:bCs/>
                <w:snapToGrid w:val="0"/>
                <w:color w:val="000000"/>
                <w:szCs w:val="24"/>
                <w:lang w:val="en-US" w:eastAsia="en-US"/>
              </w:rPr>
            </w:pPr>
          </w:p>
        </w:tc>
        <w:tc>
          <w:tcPr>
            <w:tcW w:w="486" w:type="pct"/>
            <w:tcBorders>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NTHA</w:t>
            </w:r>
          </w:p>
        </w:tc>
        <w:tc>
          <w:tcPr>
            <w:tcW w:w="411" w:type="pct"/>
            <w:tcBorders>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POA</w:t>
            </w:r>
          </w:p>
        </w:tc>
        <w:tc>
          <w:tcPr>
            <w:tcW w:w="461" w:type="pct"/>
            <w:tcBorders>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NTHA</w:t>
            </w:r>
          </w:p>
        </w:tc>
        <w:tc>
          <w:tcPr>
            <w:tcW w:w="480" w:type="pct"/>
            <w:tcBorders>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POA</w:t>
            </w:r>
          </w:p>
        </w:tc>
        <w:tc>
          <w:tcPr>
            <w:tcW w:w="461" w:type="pct"/>
            <w:tcBorders>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NTHA</w:t>
            </w:r>
          </w:p>
        </w:tc>
        <w:tc>
          <w:tcPr>
            <w:tcW w:w="477" w:type="pct"/>
            <w:tcBorders>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POA</w:t>
            </w:r>
          </w:p>
        </w:tc>
        <w:tc>
          <w:tcPr>
            <w:tcW w:w="461" w:type="pct"/>
            <w:tcBorders>
              <w:bottom w:val="single" w:sz="8" w:space="0" w:color="auto"/>
            </w:tcBorders>
            <w:vAlign w:val="center"/>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NTHA</w:t>
            </w:r>
          </w:p>
        </w:tc>
        <w:tc>
          <w:tcPr>
            <w:tcW w:w="438" w:type="pct"/>
            <w:tcBorders>
              <w:bottom w:val="single" w:sz="8" w:space="0" w:color="auto"/>
            </w:tcBorders>
            <w:vAlign w:val="center"/>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POA</w:t>
            </w:r>
          </w:p>
        </w:tc>
      </w:tr>
      <w:tr w:rsidR="00E05BFE" w:rsidRPr="00E05BFE" w:rsidTr="00B97EDB">
        <w:trPr>
          <w:cantSplit/>
          <w:trHeight w:val="284"/>
        </w:trPr>
        <w:tc>
          <w:tcPr>
            <w:tcW w:w="595" w:type="pct"/>
            <w:vMerge w:val="restart"/>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FRC_5S</w:t>
            </w:r>
          </w:p>
        </w:tc>
        <w:tc>
          <w:tcPr>
            <w:tcW w:w="73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FF</w:t>
            </w:r>
          </w:p>
        </w:tc>
        <w:tc>
          <w:tcPr>
            <w:tcW w:w="486"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15</w:t>
            </w:r>
          </w:p>
        </w:tc>
        <w:tc>
          <w:tcPr>
            <w:tcW w:w="411"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9</w:t>
            </w:r>
          </w:p>
        </w:tc>
        <w:tc>
          <w:tcPr>
            <w:tcW w:w="461"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13</w:t>
            </w:r>
          </w:p>
        </w:tc>
        <w:tc>
          <w:tcPr>
            <w:tcW w:w="48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w:t>
            </w:r>
          </w:p>
        </w:tc>
        <w:tc>
          <w:tcPr>
            <w:tcW w:w="461"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77"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61" w:type="pct"/>
            <w:tcBorders>
              <w:bottom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28</w:t>
            </w:r>
          </w:p>
        </w:tc>
        <w:tc>
          <w:tcPr>
            <w:tcW w:w="438" w:type="pct"/>
            <w:tcBorders>
              <w:bottom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12</w:t>
            </w:r>
          </w:p>
        </w:tc>
      </w:tr>
      <w:tr w:rsidR="00E05BFE" w:rsidRPr="00E05BFE" w:rsidTr="00B97EDB">
        <w:trPr>
          <w:cantSplit/>
          <w:trHeight w:val="284"/>
        </w:trPr>
        <w:tc>
          <w:tcPr>
            <w:tcW w:w="595" w:type="pct"/>
            <w:vMerge/>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p>
        </w:tc>
        <w:tc>
          <w:tcPr>
            <w:tcW w:w="73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NFD</w:t>
            </w:r>
          </w:p>
        </w:tc>
        <w:tc>
          <w:tcPr>
            <w:tcW w:w="486"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11</w:t>
            </w:r>
          </w:p>
        </w:tc>
        <w:tc>
          <w:tcPr>
            <w:tcW w:w="411"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13</w:t>
            </w:r>
          </w:p>
        </w:tc>
        <w:tc>
          <w:tcPr>
            <w:tcW w:w="461"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18</w:t>
            </w:r>
          </w:p>
        </w:tc>
        <w:tc>
          <w:tcPr>
            <w:tcW w:w="48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9</w:t>
            </w:r>
          </w:p>
        </w:tc>
        <w:tc>
          <w:tcPr>
            <w:tcW w:w="461"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77"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61" w:type="pct"/>
            <w:tcBorders>
              <w:top w:val="nil"/>
              <w:bottom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29</w:t>
            </w:r>
          </w:p>
        </w:tc>
        <w:tc>
          <w:tcPr>
            <w:tcW w:w="438" w:type="pct"/>
            <w:tcBorders>
              <w:top w:val="nil"/>
              <w:bottom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22</w:t>
            </w:r>
          </w:p>
        </w:tc>
      </w:tr>
      <w:tr w:rsidR="00E05BFE" w:rsidRPr="00E05BFE" w:rsidTr="00B97EDB">
        <w:trPr>
          <w:cantSplit/>
          <w:trHeight w:val="284"/>
        </w:trPr>
        <w:tc>
          <w:tcPr>
            <w:tcW w:w="595" w:type="pct"/>
            <w:vMerge/>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p>
        </w:tc>
        <w:tc>
          <w:tcPr>
            <w:tcW w:w="730"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NFF</w:t>
            </w:r>
          </w:p>
        </w:tc>
        <w:tc>
          <w:tcPr>
            <w:tcW w:w="486"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13</w:t>
            </w:r>
          </w:p>
        </w:tc>
        <w:tc>
          <w:tcPr>
            <w:tcW w:w="411"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9</w:t>
            </w:r>
          </w:p>
        </w:tc>
        <w:tc>
          <w:tcPr>
            <w:tcW w:w="461"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22</w:t>
            </w:r>
          </w:p>
        </w:tc>
        <w:tc>
          <w:tcPr>
            <w:tcW w:w="480"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16</w:t>
            </w:r>
          </w:p>
        </w:tc>
        <w:tc>
          <w:tcPr>
            <w:tcW w:w="461"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77"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61" w:type="pct"/>
            <w:tcBorders>
              <w:top w:val="nil"/>
              <w:bottom w:val="single" w:sz="8" w:space="0" w:color="auto"/>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35</w:t>
            </w:r>
          </w:p>
        </w:tc>
        <w:tc>
          <w:tcPr>
            <w:tcW w:w="438" w:type="pct"/>
            <w:tcBorders>
              <w:top w:val="nil"/>
              <w:bottom w:val="single" w:sz="8" w:space="0" w:color="auto"/>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25</w:t>
            </w:r>
          </w:p>
        </w:tc>
      </w:tr>
      <w:tr w:rsidR="00E05BFE" w:rsidRPr="00E05BFE" w:rsidTr="00B97EDB">
        <w:trPr>
          <w:cantSplit/>
          <w:trHeight w:val="284"/>
        </w:trPr>
        <w:tc>
          <w:tcPr>
            <w:tcW w:w="595" w:type="pct"/>
            <w:vMerge w:val="restart"/>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SR-2_5S</w:t>
            </w:r>
            <w:r w:rsidRPr="00E05BFE">
              <w:rPr>
                <w:rFonts w:eastAsia="Times New Roman"/>
                <w:snapToGrid w:val="0"/>
                <w:color w:val="000000"/>
                <w:szCs w:val="24"/>
                <w:lang w:val="en-US" w:eastAsia="en-US"/>
              </w:rPr>
              <w:br/>
              <w:t>(α=22; β=1.5)</w:t>
            </w:r>
          </w:p>
        </w:tc>
        <w:tc>
          <w:tcPr>
            <w:tcW w:w="73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FF</w:t>
            </w:r>
          </w:p>
        </w:tc>
        <w:tc>
          <w:tcPr>
            <w:tcW w:w="486"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11"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w:t>
            </w:r>
          </w:p>
        </w:tc>
        <w:tc>
          <w:tcPr>
            <w:tcW w:w="461"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8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61"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77"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61" w:type="pct"/>
            <w:tcBorders>
              <w:bottom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38" w:type="pct"/>
            <w:tcBorders>
              <w:bottom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w:t>
            </w:r>
          </w:p>
        </w:tc>
      </w:tr>
      <w:tr w:rsidR="00E05BFE" w:rsidRPr="00E05BFE" w:rsidTr="00B97EDB">
        <w:trPr>
          <w:cantSplit/>
          <w:trHeight w:val="284"/>
        </w:trPr>
        <w:tc>
          <w:tcPr>
            <w:tcW w:w="595" w:type="pct"/>
            <w:vMerge/>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p>
        </w:tc>
        <w:tc>
          <w:tcPr>
            <w:tcW w:w="73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NFD</w:t>
            </w:r>
          </w:p>
        </w:tc>
        <w:tc>
          <w:tcPr>
            <w:tcW w:w="486"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15</w:t>
            </w:r>
          </w:p>
        </w:tc>
        <w:tc>
          <w:tcPr>
            <w:tcW w:w="411"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w:t>
            </w:r>
          </w:p>
        </w:tc>
        <w:tc>
          <w:tcPr>
            <w:tcW w:w="461"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w:t>
            </w:r>
          </w:p>
        </w:tc>
        <w:tc>
          <w:tcPr>
            <w:tcW w:w="48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w:t>
            </w:r>
          </w:p>
        </w:tc>
        <w:tc>
          <w:tcPr>
            <w:tcW w:w="461"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77"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61" w:type="pct"/>
            <w:tcBorders>
              <w:top w:val="nil"/>
              <w:bottom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20</w:t>
            </w:r>
          </w:p>
        </w:tc>
        <w:tc>
          <w:tcPr>
            <w:tcW w:w="438" w:type="pct"/>
            <w:tcBorders>
              <w:top w:val="nil"/>
              <w:bottom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w:t>
            </w:r>
          </w:p>
        </w:tc>
      </w:tr>
      <w:tr w:rsidR="00E05BFE" w:rsidRPr="00E05BFE" w:rsidTr="00B97EDB">
        <w:trPr>
          <w:cantSplit/>
          <w:trHeight w:val="284"/>
        </w:trPr>
        <w:tc>
          <w:tcPr>
            <w:tcW w:w="595" w:type="pct"/>
            <w:vMerge/>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p>
        </w:tc>
        <w:tc>
          <w:tcPr>
            <w:tcW w:w="730"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NFF</w:t>
            </w:r>
          </w:p>
        </w:tc>
        <w:tc>
          <w:tcPr>
            <w:tcW w:w="486"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18</w:t>
            </w:r>
          </w:p>
        </w:tc>
        <w:tc>
          <w:tcPr>
            <w:tcW w:w="411"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w:t>
            </w:r>
          </w:p>
        </w:tc>
        <w:tc>
          <w:tcPr>
            <w:tcW w:w="461"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80"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w:t>
            </w:r>
          </w:p>
        </w:tc>
        <w:tc>
          <w:tcPr>
            <w:tcW w:w="461"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77" w:type="pct"/>
            <w:tcBorders>
              <w:top w:val="nil"/>
              <w:bottom w:val="single" w:sz="8"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61" w:type="pct"/>
            <w:tcBorders>
              <w:top w:val="nil"/>
              <w:bottom w:val="single" w:sz="8" w:space="0" w:color="auto"/>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18</w:t>
            </w:r>
          </w:p>
        </w:tc>
        <w:tc>
          <w:tcPr>
            <w:tcW w:w="438" w:type="pct"/>
            <w:tcBorders>
              <w:top w:val="nil"/>
              <w:bottom w:val="single" w:sz="8" w:space="0" w:color="auto"/>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w:t>
            </w:r>
          </w:p>
        </w:tc>
      </w:tr>
      <w:tr w:rsidR="00E05BFE" w:rsidRPr="00E05BFE" w:rsidTr="00B97EDB">
        <w:trPr>
          <w:cantSplit/>
          <w:trHeight w:val="284"/>
        </w:trPr>
        <w:tc>
          <w:tcPr>
            <w:tcW w:w="595" w:type="pct"/>
            <w:vMerge w:val="restart"/>
            <w:shd w:val="clear" w:color="auto" w:fill="auto"/>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 xml:space="preserve">SR-1_5S </w:t>
            </w:r>
            <w:r w:rsidRPr="00E05BFE">
              <w:rPr>
                <w:rFonts w:eastAsia="Times New Roman"/>
                <w:snapToGrid w:val="0"/>
                <w:color w:val="000000"/>
                <w:szCs w:val="24"/>
                <w:lang w:val="en-US" w:eastAsia="en-US"/>
              </w:rPr>
              <w:br/>
              <w:t>(α=10; β=1.5)</w:t>
            </w:r>
          </w:p>
        </w:tc>
        <w:tc>
          <w:tcPr>
            <w:tcW w:w="73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FF</w:t>
            </w:r>
          </w:p>
        </w:tc>
        <w:tc>
          <w:tcPr>
            <w:tcW w:w="486"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w:t>
            </w:r>
          </w:p>
        </w:tc>
        <w:tc>
          <w:tcPr>
            <w:tcW w:w="411"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w:t>
            </w:r>
          </w:p>
        </w:tc>
        <w:tc>
          <w:tcPr>
            <w:tcW w:w="461"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w:t>
            </w:r>
          </w:p>
        </w:tc>
        <w:tc>
          <w:tcPr>
            <w:tcW w:w="48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w:t>
            </w:r>
          </w:p>
        </w:tc>
        <w:tc>
          <w:tcPr>
            <w:tcW w:w="461"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77"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61" w:type="pct"/>
            <w:tcBorders>
              <w:bottom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7</w:t>
            </w:r>
          </w:p>
        </w:tc>
        <w:tc>
          <w:tcPr>
            <w:tcW w:w="438" w:type="pct"/>
            <w:tcBorders>
              <w:bottom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w:t>
            </w:r>
          </w:p>
        </w:tc>
      </w:tr>
      <w:tr w:rsidR="00E05BFE" w:rsidRPr="00E05BFE" w:rsidTr="00B97EDB">
        <w:trPr>
          <w:cantSplit/>
          <w:trHeight w:val="284"/>
        </w:trPr>
        <w:tc>
          <w:tcPr>
            <w:tcW w:w="595" w:type="pct"/>
            <w:vMerge/>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p>
        </w:tc>
        <w:tc>
          <w:tcPr>
            <w:tcW w:w="73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NFD</w:t>
            </w:r>
          </w:p>
        </w:tc>
        <w:tc>
          <w:tcPr>
            <w:tcW w:w="486"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13</w:t>
            </w:r>
          </w:p>
        </w:tc>
        <w:tc>
          <w:tcPr>
            <w:tcW w:w="411"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w:t>
            </w:r>
          </w:p>
        </w:tc>
        <w:tc>
          <w:tcPr>
            <w:tcW w:w="461"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6</w:t>
            </w:r>
          </w:p>
        </w:tc>
        <w:tc>
          <w:tcPr>
            <w:tcW w:w="48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w:t>
            </w:r>
          </w:p>
        </w:tc>
        <w:tc>
          <w:tcPr>
            <w:tcW w:w="461"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77"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61" w:type="pct"/>
            <w:tcBorders>
              <w:top w:val="nil"/>
              <w:bottom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19</w:t>
            </w:r>
          </w:p>
        </w:tc>
        <w:tc>
          <w:tcPr>
            <w:tcW w:w="438" w:type="pct"/>
            <w:tcBorders>
              <w:top w:val="nil"/>
              <w:bottom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w:t>
            </w:r>
          </w:p>
        </w:tc>
      </w:tr>
      <w:tr w:rsidR="00E05BFE" w:rsidRPr="00E05BFE" w:rsidTr="00B97EDB">
        <w:trPr>
          <w:cantSplit/>
          <w:trHeight w:val="284"/>
        </w:trPr>
        <w:tc>
          <w:tcPr>
            <w:tcW w:w="595" w:type="pct"/>
            <w:vMerge/>
            <w:vAlign w:val="center"/>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p>
        </w:tc>
        <w:tc>
          <w:tcPr>
            <w:tcW w:w="730"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NFF</w:t>
            </w:r>
          </w:p>
        </w:tc>
        <w:tc>
          <w:tcPr>
            <w:tcW w:w="486"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14</w:t>
            </w:r>
          </w:p>
        </w:tc>
        <w:tc>
          <w:tcPr>
            <w:tcW w:w="411"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61"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w:t>
            </w:r>
          </w:p>
        </w:tc>
        <w:tc>
          <w:tcPr>
            <w:tcW w:w="480"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w:t>
            </w:r>
          </w:p>
        </w:tc>
        <w:tc>
          <w:tcPr>
            <w:tcW w:w="461"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77"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w:t>
            </w:r>
          </w:p>
        </w:tc>
        <w:tc>
          <w:tcPr>
            <w:tcW w:w="461" w:type="pct"/>
            <w:tcBorders>
              <w:top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18</w:t>
            </w:r>
          </w:p>
        </w:tc>
        <w:tc>
          <w:tcPr>
            <w:tcW w:w="438" w:type="pct"/>
            <w:tcBorders>
              <w:top w:val="nil"/>
            </w:tcBorders>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w:t>
            </w:r>
          </w:p>
        </w:tc>
      </w:tr>
    </w:tbl>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center"/>
        <w:rPr>
          <w:rFonts w:eastAsia="Times New Roman"/>
          <w:snapToGrid w:val="0"/>
          <w:sz w:val="20"/>
          <w:szCs w:val="24"/>
          <w:lang w:val="en-US" w:eastAsia="en-US"/>
        </w:rPr>
      </w:pPr>
      <w:r w:rsidRPr="00E05BFE">
        <w:rPr>
          <w:rFonts w:eastAsia="Times New Roman"/>
          <w:snapToGrid w:val="0"/>
          <w:sz w:val="20"/>
          <w:szCs w:val="24"/>
          <w:lang w:val="en-US" w:eastAsia="en-US"/>
        </w:rPr>
        <w:t>Table 5. C</w:t>
      </w:r>
      <w:r w:rsidRPr="00E05BFE">
        <w:rPr>
          <w:rFonts w:eastAsia="Times New Roman"/>
          <w:noProof/>
          <w:snapToGrid w:val="0"/>
          <w:sz w:val="20"/>
          <w:szCs w:val="24"/>
          <w:lang w:val="en-US" w:eastAsia="en-US"/>
        </w:rPr>
        <w:t>omparison</w:t>
      </w:r>
      <w:r w:rsidRPr="00E05BFE">
        <w:rPr>
          <w:rFonts w:eastAsia="Times New Roman"/>
          <w:snapToGrid w:val="0"/>
          <w:sz w:val="20"/>
          <w:szCs w:val="24"/>
          <w:lang w:val="en-US" w:eastAsia="en-US"/>
        </w:rPr>
        <w:t xml:space="preserve"> of SRSS of Maximum Plastic hinge Rotations (in radians)</w:t>
      </w:r>
    </w:p>
    <w:p w:rsidR="00E05BFE" w:rsidRPr="00E05BFE" w:rsidRDefault="00E05BFE" w:rsidP="00E05BFE">
      <w:pPr>
        <w:widowControl w:val="0"/>
        <w:spacing w:after="0" w:line="240" w:lineRule="auto"/>
        <w:jc w:val="both"/>
        <w:rPr>
          <w:rFonts w:eastAsia="Times New Roman"/>
          <w:snapToGrid w:val="0"/>
          <w:szCs w:val="24"/>
          <w:lang w:val="en-US" w:eastAsia="en-U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323"/>
        <w:gridCol w:w="1450"/>
        <w:gridCol w:w="1180"/>
        <w:gridCol w:w="1181"/>
        <w:gridCol w:w="1181"/>
        <w:gridCol w:w="1181"/>
        <w:gridCol w:w="1181"/>
        <w:gridCol w:w="1177"/>
      </w:tblGrid>
      <w:tr w:rsidR="00E05BFE" w:rsidRPr="00E05BFE" w:rsidTr="00B97EDB">
        <w:trPr>
          <w:cantSplit/>
          <w:trHeight w:val="284"/>
        </w:trPr>
        <w:tc>
          <w:tcPr>
            <w:tcW w:w="672" w:type="pct"/>
            <w:vMerge w:val="restart"/>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Frame ID</w:t>
            </w:r>
          </w:p>
        </w:tc>
        <w:tc>
          <w:tcPr>
            <w:tcW w:w="736" w:type="pct"/>
            <w:vMerge w:val="restart"/>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 xml:space="preserve">Earthquake Type </w:t>
            </w:r>
          </w:p>
        </w:tc>
        <w:tc>
          <w:tcPr>
            <w:tcW w:w="1198" w:type="pct"/>
            <w:gridSpan w:val="2"/>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0.7g</w:t>
            </w:r>
          </w:p>
        </w:tc>
        <w:tc>
          <w:tcPr>
            <w:tcW w:w="1198" w:type="pct"/>
            <w:gridSpan w:val="2"/>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0.5g</w:t>
            </w:r>
          </w:p>
        </w:tc>
        <w:tc>
          <w:tcPr>
            <w:tcW w:w="1196" w:type="pct"/>
            <w:gridSpan w:val="2"/>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0.3g</w:t>
            </w:r>
          </w:p>
        </w:tc>
      </w:tr>
      <w:tr w:rsidR="00E05BFE" w:rsidRPr="00E05BFE" w:rsidTr="00B97EDB">
        <w:trPr>
          <w:cantSplit/>
          <w:trHeight w:val="284"/>
        </w:trPr>
        <w:tc>
          <w:tcPr>
            <w:tcW w:w="672" w:type="pct"/>
            <w:vMerge/>
            <w:vAlign w:val="center"/>
            <w:hideMark/>
          </w:tcPr>
          <w:p w:rsidR="00E05BFE" w:rsidRPr="00E05BFE" w:rsidRDefault="00E05BFE" w:rsidP="00E05BFE">
            <w:pPr>
              <w:widowControl w:val="0"/>
              <w:spacing w:after="0" w:line="240" w:lineRule="auto"/>
              <w:jc w:val="both"/>
              <w:rPr>
                <w:rFonts w:eastAsia="Times New Roman"/>
                <w:b/>
                <w:bCs/>
                <w:snapToGrid w:val="0"/>
                <w:color w:val="000000"/>
                <w:szCs w:val="24"/>
                <w:lang w:val="en-US" w:eastAsia="en-US"/>
              </w:rPr>
            </w:pPr>
          </w:p>
        </w:tc>
        <w:tc>
          <w:tcPr>
            <w:tcW w:w="736" w:type="pct"/>
            <w:vMerge/>
            <w:tcBorders>
              <w:bottom w:val="single" w:sz="4" w:space="0" w:color="auto"/>
            </w:tcBorders>
            <w:vAlign w:val="center"/>
            <w:hideMark/>
          </w:tcPr>
          <w:p w:rsidR="00E05BFE" w:rsidRPr="00E05BFE" w:rsidRDefault="00E05BFE" w:rsidP="00E05BFE">
            <w:pPr>
              <w:widowControl w:val="0"/>
              <w:spacing w:after="0" w:line="240" w:lineRule="auto"/>
              <w:jc w:val="both"/>
              <w:rPr>
                <w:rFonts w:eastAsia="Times New Roman"/>
                <w:b/>
                <w:bCs/>
                <w:snapToGrid w:val="0"/>
                <w:color w:val="000000"/>
                <w:szCs w:val="24"/>
                <w:lang w:val="en-US" w:eastAsia="en-US"/>
              </w:rPr>
            </w:pPr>
          </w:p>
        </w:tc>
        <w:tc>
          <w:tcPr>
            <w:tcW w:w="599"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NTHA</w:t>
            </w:r>
          </w:p>
        </w:tc>
        <w:tc>
          <w:tcPr>
            <w:tcW w:w="599"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POA</w:t>
            </w:r>
          </w:p>
        </w:tc>
        <w:tc>
          <w:tcPr>
            <w:tcW w:w="599"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NTHA</w:t>
            </w:r>
          </w:p>
        </w:tc>
        <w:tc>
          <w:tcPr>
            <w:tcW w:w="599"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POA</w:t>
            </w:r>
          </w:p>
        </w:tc>
        <w:tc>
          <w:tcPr>
            <w:tcW w:w="599"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NTHA</w:t>
            </w:r>
          </w:p>
        </w:tc>
        <w:tc>
          <w:tcPr>
            <w:tcW w:w="597" w:type="pct"/>
            <w:tcBorders>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
                <w:bCs/>
                <w:snapToGrid w:val="0"/>
                <w:color w:val="000000"/>
                <w:szCs w:val="24"/>
                <w:lang w:val="en-US" w:eastAsia="en-US"/>
              </w:rPr>
            </w:pPr>
            <w:r w:rsidRPr="00E05BFE">
              <w:rPr>
                <w:rFonts w:eastAsia="Times New Roman"/>
                <w:b/>
                <w:bCs/>
                <w:snapToGrid w:val="0"/>
                <w:color w:val="000000"/>
                <w:szCs w:val="24"/>
                <w:lang w:val="en-US" w:eastAsia="en-US"/>
              </w:rPr>
              <w:t>POA</w:t>
            </w:r>
          </w:p>
        </w:tc>
      </w:tr>
      <w:tr w:rsidR="00E05BFE" w:rsidRPr="00E05BFE" w:rsidTr="00B97EDB">
        <w:trPr>
          <w:cantSplit/>
          <w:trHeight w:val="284"/>
        </w:trPr>
        <w:tc>
          <w:tcPr>
            <w:tcW w:w="672" w:type="pct"/>
            <w:vMerge w:val="restart"/>
            <w:shd w:val="clear" w:color="auto" w:fill="auto"/>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FRC-5S</w:t>
            </w:r>
          </w:p>
        </w:tc>
        <w:tc>
          <w:tcPr>
            <w:tcW w:w="736" w:type="pct"/>
            <w:tcBorders>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FF</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0.03891</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0.01960</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0.02128</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0.00477</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0.00122</w:t>
            </w:r>
          </w:p>
        </w:tc>
        <w:tc>
          <w:tcPr>
            <w:tcW w:w="597"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r>
      <w:tr w:rsidR="00E05BFE" w:rsidRPr="00E05BFE" w:rsidTr="00B97EDB">
        <w:trPr>
          <w:cantSplit/>
          <w:trHeight w:val="284"/>
        </w:trPr>
        <w:tc>
          <w:tcPr>
            <w:tcW w:w="672" w:type="pct"/>
            <w:vMerge/>
            <w:vAlign w:val="center"/>
            <w:hideMark/>
          </w:tcPr>
          <w:p w:rsidR="00E05BFE" w:rsidRPr="00E05BFE" w:rsidRDefault="00E05BFE" w:rsidP="00E05BFE">
            <w:pPr>
              <w:widowControl w:val="0"/>
              <w:spacing w:after="0" w:line="240" w:lineRule="auto"/>
              <w:jc w:val="both"/>
              <w:rPr>
                <w:rFonts w:eastAsia="Times New Roman"/>
                <w:bCs/>
                <w:snapToGrid w:val="0"/>
                <w:color w:val="000000"/>
                <w:szCs w:val="24"/>
                <w:lang w:val="en-US" w:eastAsia="en-US"/>
              </w:rPr>
            </w:pPr>
          </w:p>
        </w:tc>
        <w:tc>
          <w:tcPr>
            <w:tcW w:w="736" w:type="pct"/>
            <w:tcBorders>
              <w:top w:val="nil"/>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NFD</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0.05667</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0.03291</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0.02708</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0.01960</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0.00333</w:t>
            </w:r>
          </w:p>
        </w:tc>
        <w:tc>
          <w:tcPr>
            <w:tcW w:w="597"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0.00198</w:t>
            </w:r>
          </w:p>
        </w:tc>
      </w:tr>
      <w:tr w:rsidR="00E05BFE" w:rsidRPr="00E05BFE" w:rsidTr="00B97EDB">
        <w:trPr>
          <w:cantSplit/>
          <w:trHeight w:val="284"/>
        </w:trPr>
        <w:tc>
          <w:tcPr>
            <w:tcW w:w="672" w:type="pct"/>
            <w:vMerge/>
            <w:vAlign w:val="center"/>
            <w:hideMark/>
          </w:tcPr>
          <w:p w:rsidR="00E05BFE" w:rsidRPr="00E05BFE" w:rsidRDefault="00E05BFE" w:rsidP="00E05BFE">
            <w:pPr>
              <w:widowControl w:val="0"/>
              <w:spacing w:after="0" w:line="240" w:lineRule="auto"/>
              <w:jc w:val="both"/>
              <w:rPr>
                <w:rFonts w:eastAsia="Times New Roman"/>
                <w:bCs/>
                <w:snapToGrid w:val="0"/>
                <w:color w:val="000000"/>
                <w:szCs w:val="24"/>
                <w:lang w:val="en-US" w:eastAsia="en-US"/>
              </w:rPr>
            </w:pPr>
          </w:p>
        </w:tc>
        <w:tc>
          <w:tcPr>
            <w:tcW w:w="736" w:type="pct"/>
            <w:tcBorders>
              <w:top w:val="nil"/>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NFF</w:t>
            </w:r>
          </w:p>
        </w:tc>
        <w:tc>
          <w:tcPr>
            <w:tcW w:w="599"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0.05882</w:t>
            </w:r>
          </w:p>
        </w:tc>
        <w:tc>
          <w:tcPr>
            <w:tcW w:w="599"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0.05187</w:t>
            </w:r>
          </w:p>
        </w:tc>
        <w:tc>
          <w:tcPr>
            <w:tcW w:w="599"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0.04330</w:t>
            </w:r>
          </w:p>
        </w:tc>
        <w:tc>
          <w:tcPr>
            <w:tcW w:w="599"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0.03492</w:t>
            </w:r>
          </w:p>
        </w:tc>
        <w:tc>
          <w:tcPr>
            <w:tcW w:w="599"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0.01986</w:t>
            </w:r>
          </w:p>
        </w:tc>
        <w:tc>
          <w:tcPr>
            <w:tcW w:w="597"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0.01249</w:t>
            </w:r>
          </w:p>
        </w:tc>
      </w:tr>
      <w:tr w:rsidR="00E05BFE" w:rsidRPr="00E05BFE" w:rsidTr="00B97EDB">
        <w:trPr>
          <w:cantSplit/>
          <w:trHeight w:val="284"/>
        </w:trPr>
        <w:tc>
          <w:tcPr>
            <w:tcW w:w="672" w:type="pct"/>
            <w:vMerge w:val="restart"/>
            <w:shd w:val="clear" w:color="auto" w:fill="auto"/>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SR-2_5S (α=22; β=1.5)</w:t>
            </w:r>
          </w:p>
        </w:tc>
        <w:tc>
          <w:tcPr>
            <w:tcW w:w="736" w:type="pct"/>
            <w:tcBorders>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FF</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0.00405</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0.00037</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c>
          <w:tcPr>
            <w:tcW w:w="597"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r>
      <w:tr w:rsidR="00E05BFE" w:rsidRPr="00E05BFE" w:rsidTr="00B97EDB">
        <w:trPr>
          <w:cantSplit/>
          <w:trHeight w:val="284"/>
        </w:trPr>
        <w:tc>
          <w:tcPr>
            <w:tcW w:w="672" w:type="pct"/>
            <w:vMerge/>
            <w:vAlign w:val="center"/>
            <w:hideMark/>
          </w:tcPr>
          <w:p w:rsidR="00E05BFE" w:rsidRPr="00E05BFE" w:rsidRDefault="00E05BFE" w:rsidP="00E05BFE">
            <w:pPr>
              <w:widowControl w:val="0"/>
              <w:spacing w:after="0" w:line="240" w:lineRule="auto"/>
              <w:jc w:val="both"/>
              <w:rPr>
                <w:rFonts w:eastAsia="Times New Roman"/>
                <w:bCs/>
                <w:snapToGrid w:val="0"/>
                <w:color w:val="000000"/>
                <w:szCs w:val="24"/>
                <w:lang w:val="en-US" w:eastAsia="en-US"/>
              </w:rPr>
            </w:pPr>
          </w:p>
        </w:tc>
        <w:tc>
          <w:tcPr>
            <w:tcW w:w="736" w:type="pct"/>
            <w:tcBorders>
              <w:top w:val="nil"/>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NFD</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0.00925</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0.00161</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0.00102</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c>
          <w:tcPr>
            <w:tcW w:w="597"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r>
      <w:tr w:rsidR="00E05BFE" w:rsidRPr="00E05BFE" w:rsidTr="00B97EDB">
        <w:trPr>
          <w:cantSplit/>
          <w:trHeight w:val="284"/>
        </w:trPr>
        <w:tc>
          <w:tcPr>
            <w:tcW w:w="672" w:type="pct"/>
            <w:vMerge/>
            <w:vAlign w:val="center"/>
            <w:hideMark/>
          </w:tcPr>
          <w:p w:rsidR="00E05BFE" w:rsidRPr="00E05BFE" w:rsidRDefault="00E05BFE" w:rsidP="00E05BFE">
            <w:pPr>
              <w:widowControl w:val="0"/>
              <w:spacing w:after="0" w:line="240" w:lineRule="auto"/>
              <w:jc w:val="both"/>
              <w:rPr>
                <w:rFonts w:eastAsia="Times New Roman"/>
                <w:bCs/>
                <w:snapToGrid w:val="0"/>
                <w:color w:val="000000"/>
                <w:szCs w:val="24"/>
                <w:lang w:val="en-US" w:eastAsia="en-US"/>
              </w:rPr>
            </w:pPr>
          </w:p>
        </w:tc>
        <w:tc>
          <w:tcPr>
            <w:tcW w:w="736" w:type="pct"/>
            <w:tcBorders>
              <w:top w:val="nil"/>
              <w:bottom w:val="single" w:sz="4" w:space="0" w:color="auto"/>
            </w:tcBorders>
            <w:shd w:val="clear" w:color="auto" w:fill="auto"/>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NFF</w:t>
            </w:r>
          </w:p>
        </w:tc>
        <w:tc>
          <w:tcPr>
            <w:tcW w:w="599"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0.00357</w:t>
            </w:r>
          </w:p>
        </w:tc>
        <w:tc>
          <w:tcPr>
            <w:tcW w:w="599"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0.00959</w:t>
            </w:r>
          </w:p>
        </w:tc>
        <w:tc>
          <w:tcPr>
            <w:tcW w:w="599"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0.00028</w:t>
            </w:r>
          </w:p>
        </w:tc>
        <w:tc>
          <w:tcPr>
            <w:tcW w:w="599"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0.00130</w:t>
            </w:r>
          </w:p>
        </w:tc>
        <w:tc>
          <w:tcPr>
            <w:tcW w:w="599"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0.00014</w:t>
            </w:r>
          </w:p>
        </w:tc>
        <w:tc>
          <w:tcPr>
            <w:tcW w:w="597" w:type="pct"/>
            <w:tcBorders>
              <w:top w:val="nil"/>
              <w:bottom w:val="single" w:sz="4" w:space="0" w:color="auto"/>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r>
      <w:tr w:rsidR="00E05BFE" w:rsidRPr="00E05BFE" w:rsidTr="00B97EDB">
        <w:trPr>
          <w:cantSplit/>
          <w:trHeight w:val="284"/>
        </w:trPr>
        <w:tc>
          <w:tcPr>
            <w:tcW w:w="672" w:type="pct"/>
            <w:vMerge w:val="restart"/>
            <w:shd w:val="clear" w:color="auto" w:fill="auto"/>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SR-1_5S (α=10; β=1.5)</w:t>
            </w:r>
          </w:p>
        </w:tc>
        <w:tc>
          <w:tcPr>
            <w:tcW w:w="736" w:type="pct"/>
            <w:tcBorders>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FF</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0.00601</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0.00195</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0.00168</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c>
          <w:tcPr>
            <w:tcW w:w="599"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c>
          <w:tcPr>
            <w:tcW w:w="597" w:type="pct"/>
            <w:tcBorders>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r>
      <w:tr w:rsidR="00E05BFE" w:rsidRPr="00E05BFE" w:rsidTr="00B97EDB">
        <w:trPr>
          <w:cantSplit/>
          <w:trHeight w:val="284"/>
        </w:trPr>
        <w:tc>
          <w:tcPr>
            <w:tcW w:w="672" w:type="pct"/>
            <w:vMerge/>
            <w:vAlign w:val="center"/>
            <w:hideMark/>
          </w:tcPr>
          <w:p w:rsidR="00E05BFE" w:rsidRPr="00E05BFE" w:rsidRDefault="00E05BFE" w:rsidP="00E05BFE">
            <w:pPr>
              <w:widowControl w:val="0"/>
              <w:spacing w:after="0" w:line="240" w:lineRule="auto"/>
              <w:jc w:val="both"/>
              <w:rPr>
                <w:rFonts w:eastAsia="Times New Roman"/>
                <w:bCs/>
                <w:snapToGrid w:val="0"/>
                <w:color w:val="000000"/>
                <w:szCs w:val="24"/>
                <w:lang w:val="en-US" w:eastAsia="en-US"/>
              </w:rPr>
            </w:pPr>
          </w:p>
        </w:tc>
        <w:tc>
          <w:tcPr>
            <w:tcW w:w="736" w:type="pct"/>
            <w:tcBorders>
              <w:top w:val="nil"/>
              <w:bottom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NFD</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0.00649</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0.00249</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0.00060</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c>
          <w:tcPr>
            <w:tcW w:w="599"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c>
          <w:tcPr>
            <w:tcW w:w="597" w:type="pct"/>
            <w:tcBorders>
              <w:top w:val="nil"/>
              <w:bottom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r>
      <w:tr w:rsidR="00E05BFE" w:rsidRPr="00E05BFE" w:rsidTr="00B97EDB">
        <w:trPr>
          <w:cantSplit/>
          <w:trHeight w:val="284"/>
        </w:trPr>
        <w:tc>
          <w:tcPr>
            <w:tcW w:w="672" w:type="pct"/>
            <w:vMerge/>
            <w:vAlign w:val="center"/>
            <w:hideMark/>
          </w:tcPr>
          <w:p w:rsidR="00E05BFE" w:rsidRPr="00E05BFE" w:rsidRDefault="00E05BFE" w:rsidP="00E05BFE">
            <w:pPr>
              <w:widowControl w:val="0"/>
              <w:spacing w:after="0" w:line="240" w:lineRule="auto"/>
              <w:jc w:val="both"/>
              <w:rPr>
                <w:rFonts w:eastAsia="Times New Roman"/>
                <w:bCs/>
                <w:snapToGrid w:val="0"/>
                <w:color w:val="000000"/>
                <w:szCs w:val="24"/>
                <w:lang w:val="en-US" w:eastAsia="en-US"/>
              </w:rPr>
            </w:pPr>
          </w:p>
        </w:tc>
        <w:tc>
          <w:tcPr>
            <w:tcW w:w="736" w:type="pct"/>
            <w:tcBorders>
              <w:top w:val="nil"/>
            </w:tcBorders>
            <w:shd w:val="clear" w:color="auto" w:fill="auto"/>
            <w:vAlign w:val="center"/>
            <w:hideMark/>
          </w:tcPr>
          <w:p w:rsidR="00E05BFE" w:rsidRPr="00E05BFE" w:rsidRDefault="00E05BFE" w:rsidP="00E05BFE">
            <w:pPr>
              <w:widowControl w:val="0"/>
              <w:spacing w:after="0" w:line="240" w:lineRule="auto"/>
              <w:jc w:val="center"/>
              <w:rPr>
                <w:rFonts w:eastAsia="Times New Roman"/>
                <w:bCs/>
                <w:snapToGrid w:val="0"/>
                <w:color w:val="000000"/>
                <w:szCs w:val="24"/>
                <w:lang w:val="en-US" w:eastAsia="en-US"/>
              </w:rPr>
            </w:pPr>
            <w:r w:rsidRPr="00E05BFE">
              <w:rPr>
                <w:rFonts w:eastAsia="Times New Roman"/>
                <w:bCs/>
                <w:snapToGrid w:val="0"/>
                <w:color w:val="000000"/>
                <w:szCs w:val="24"/>
                <w:lang w:val="en-US" w:eastAsia="en-US"/>
              </w:rPr>
              <w:t>NFF</w:t>
            </w:r>
          </w:p>
        </w:tc>
        <w:tc>
          <w:tcPr>
            <w:tcW w:w="599" w:type="pct"/>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0.00534</w:t>
            </w:r>
          </w:p>
        </w:tc>
        <w:tc>
          <w:tcPr>
            <w:tcW w:w="599" w:type="pct"/>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0.01082</w:t>
            </w:r>
          </w:p>
        </w:tc>
        <w:tc>
          <w:tcPr>
            <w:tcW w:w="599" w:type="pct"/>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c>
          <w:tcPr>
            <w:tcW w:w="599" w:type="pct"/>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0.00249</w:t>
            </w:r>
          </w:p>
        </w:tc>
        <w:tc>
          <w:tcPr>
            <w:tcW w:w="599" w:type="pct"/>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c>
          <w:tcPr>
            <w:tcW w:w="597" w:type="pct"/>
            <w:tcBorders>
              <w:top w:val="nil"/>
            </w:tcBorders>
            <w:shd w:val="clear" w:color="000000" w:fill="FFFFFF"/>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0.00000</w:t>
            </w:r>
          </w:p>
        </w:tc>
      </w:tr>
    </w:tbl>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b/>
          <w:bCs/>
          <w:snapToGrid w:val="0"/>
          <w:szCs w:val="24"/>
          <w:lang w:val="en-US" w:eastAsia="en-US"/>
        </w:rPr>
      </w:pPr>
      <w:r w:rsidRPr="00E05BFE">
        <w:rPr>
          <w:rFonts w:eastAsia="Times New Roman"/>
          <w:b/>
          <w:bCs/>
          <w:i/>
          <w:iCs/>
          <w:snapToGrid w:val="0"/>
          <w:szCs w:val="24"/>
          <w:lang w:val="en-US" w:eastAsia="en-US"/>
        </w:rPr>
        <w:t>4.3 Energy dissipation in rigid and semi-rigid frames in NTHA</w:t>
      </w:r>
    </w:p>
    <w:p w:rsidR="00E05BFE" w:rsidRPr="00E05BFE" w:rsidRDefault="00E05BFE" w:rsidP="00E05BFE">
      <w:pPr>
        <w:widowControl w:val="0"/>
        <w:spacing w:after="0" w:line="240" w:lineRule="auto"/>
        <w:ind w:left="7"/>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Figure 5 shows typical plots of the energy dissipation with time for the PGA level of 0.7g PGA for the </w:t>
      </w:r>
      <w:r w:rsidRPr="00E05BFE">
        <w:rPr>
          <w:rFonts w:eastAsia="Times New Roman"/>
          <w:noProof/>
          <w:snapToGrid w:val="0"/>
          <w:szCs w:val="24"/>
          <w:lang w:val="en-US" w:eastAsia="en-US"/>
        </w:rPr>
        <w:t>San Fernando</w:t>
      </w:r>
      <w:r w:rsidRPr="00E05BFE">
        <w:rPr>
          <w:rFonts w:eastAsia="Times New Roman"/>
          <w:snapToGrid w:val="0"/>
          <w:szCs w:val="24"/>
          <w:lang w:val="en-US" w:eastAsia="en-US"/>
        </w:rPr>
        <w:t xml:space="preserve"> (FF) and the Erzincan (NFD) ground motion. It </w:t>
      </w:r>
      <w:r w:rsidRPr="00E05BFE">
        <w:rPr>
          <w:rFonts w:eastAsia="Times New Roman"/>
          <w:noProof/>
          <w:snapToGrid w:val="0"/>
          <w:szCs w:val="24"/>
          <w:lang w:val="en-US" w:eastAsia="en-US"/>
        </w:rPr>
        <w:t>is observed</w:t>
      </w:r>
      <w:r w:rsidRPr="00E05BFE">
        <w:rPr>
          <w:rFonts w:eastAsia="Times New Roman"/>
          <w:snapToGrid w:val="0"/>
          <w:szCs w:val="24"/>
          <w:lang w:val="en-US" w:eastAsia="en-US"/>
        </w:rPr>
        <w:t xml:space="preserve"> from F</w:t>
      </w:r>
      <w:r w:rsidRPr="00E05BFE">
        <w:rPr>
          <w:rFonts w:eastAsia="Times New Roman"/>
          <w:noProof/>
          <w:snapToGrid w:val="0"/>
          <w:szCs w:val="24"/>
          <w:lang w:val="en-US" w:eastAsia="en-US"/>
        </w:rPr>
        <w:t>igure 5</w:t>
      </w:r>
      <w:r w:rsidRPr="00E05BFE">
        <w:rPr>
          <w:rFonts w:eastAsia="Times New Roman"/>
          <w:snapToGrid w:val="0"/>
          <w:szCs w:val="24"/>
          <w:lang w:val="en-US" w:eastAsia="en-US"/>
        </w:rPr>
        <w:t xml:space="preserve"> that modal damping energy decreases significantly in the SR frame as compared to the FRC frame. Thus, the </w:t>
      </w:r>
      <w:r w:rsidRPr="00E05BFE">
        <w:rPr>
          <w:rFonts w:eastAsia="Times New Roman"/>
          <w:noProof/>
          <w:snapToGrid w:val="0"/>
          <w:szCs w:val="24"/>
          <w:lang w:val="en-US" w:eastAsia="en-US"/>
        </w:rPr>
        <w:t>total</w:t>
      </w:r>
      <w:r w:rsidRPr="00E05BFE">
        <w:rPr>
          <w:rFonts w:eastAsia="Times New Roman"/>
          <w:snapToGrid w:val="0"/>
          <w:szCs w:val="24"/>
          <w:lang w:val="en-US" w:eastAsia="en-US"/>
        </w:rPr>
        <w:t xml:space="preserve"> plastic hinges and the SRSS of hinge rotations </w:t>
      </w:r>
      <w:r w:rsidRPr="00E05BFE">
        <w:rPr>
          <w:rFonts w:eastAsia="Times New Roman"/>
          <w:noProof/>
          <w:snapToGrid w:val="0"/>
          <w:szCs w:val="24"/>
          <w:lang w:val="en-US" w:eastAsia="en-US"/>
        </w:rPr>
        <w:t>are considerably reduced</w:t>
      </w:r>
      <w:r w:rsidRPr="00E05BFE">
        <w:rPr>
          <w:rFonts w:eastAsia="Times New Roman"/>
          <w:snapToGrid w:val="0"/>
          <w:szCs w:val="24"/>
          <w:lang w:val="en-US" w:eastAsia="en-US"/>
        </w:rPr>
        <w:t xml:space="preserve"> in the SR frames. The link hysteretic energy dissipation (energy in SR connections) is noticeable in the SR frames. </w:t>
      </w:r>
      <w:r w:rsidRPr="00E05BFE">
        <w:rPr>
          <w:rFonts w:eastAsia="Times New Roman"/>
          <w:noProof/>
          <w:snapToGrid w:val="0"/>
          <w:szCs w:val="24"/>
          <w:lang w:val="en-US" w:eastAsia="en-US"/>
        </w:rPr>
        <w:t>This</w:t>
      </w:r>
      <w:r w:rsidRPr="00E05BFE">
        <w:rPr>
          <w:rFonts w:eastAsia="Times New Roman"/>
          <w:snapToGrid w:val="0"/>
          <w:szCs w:val="24"/>
          <w:lang w:val="en-US" w:eastAsia="en-US"/>
        </w:rPr>
        <w:t xml:space="preserve"> is another reason </w:t>
      </w:r>
      <w:r w:rsidRPr="00E05BFE">
        <w:rPr>
          <w:rFonts w:eastAsia="Times New Roman"/>
          <w:noProof/>
          <w:snapToGrid w:val="0"/>
          <w:szCs w:val="24"/>
          <w:lang w:val="en-US" w:eastAsia="en-US"/>
        </w:rPr>
        <w:t>for the</w:t>
      </w:r>
      <w:r w:rsidRPr="00E05BFE">
        <w:rPr>
          <w:rFonts w:eastAsia="Times New Roman"/>
          <w:snapToGrid w:val="0"/>
          <w:szCs w:val="24"/>
          <w:lang w:val="en-US" w:eastAsia="en-US"/>
        </w:rPr>
        <w:t xml:space="preserve"> reduction in the </w:t>
      </w:r>
      <w:r w:rsidRPr="00E05BFE">
        <w:rPr>
          <w:rFonts w:eastAsia="Times New Roman"/>
          <w:noProof/>
          <w:snapToGrid w:val="0"/>
          <w:szCs w:val="24"/>
          <w:lang w:val="en-US" w:eastAsia="en-US"/>
        </w:rPr>
        <w:t>inelastic</w:t>
      </w:r>
      <w:r w:rsidRPr="00E05BFE">
        <w:rPr>
          <w:rFonts w:eastAsia="Times New Roman"/>
          <w:snapToGrid w:val="0"/>
          <w:szCs w:val="24"/>
          <w:lang w:val="en-US" w:eastAsia="en-US"/>
        </w:rPr>
        <w:t xml:space="preserve"> excursion </w:t>
      </w:r>
      <w:r w:rsidRPr="00E05BFE">
        <w:rPr>
          <w:rFonts w:eastAsia="Times New Roman"/>
          <w:noProof/>
          <w:snapToGrid w:val="0"/>
          <w:szCs w:val="24"/>
          <w:lang w:val="en-US" w:eastAsia="en-US"/>
        </w:rPr>
        <w:t>in the form of</w:t>
      </w:r>
      <w:r w:rsidRPr="00E05BFE">
        <w:rPr>
          <w:rFonts w:eastAsia="Times New Roman"/>
          <w:snapToGrid w:val="0"/>
          <w:szCs w:val="24"/>
          <w:lang w:val="en-US" w:eastAsia="en-US"/>
        </w:rPr>
        <w:t xml:space="preserve"> plastic hinges in the SR frames. Note that energy in the frame </w:t>
      </w:r>
      <w:r w:rsidRPr="00E05BFE">
        <w:rPr>
          <w:rFonts w:eastAsia="Times New Roman"/>
          <w:noProof/>
          <w:snapToGrid w:val="0"/>
          <w:szCs w:val="24"/>
          <w:lang w:val="en-US" w:eastAsia="en-US"/>
        </w:rPr>
        <w:t>is stored</w:t>
      </w:r>
      <w:r w:rsidRPr="00E05BFE">
        <w:rPr>
          <w:rFonts w:eastAsia="Times New Roman"/>
          <w:snapToGrid w:val="0"/>
          <w:szCs w:val="24"/>
          <w:lang w:val="en-US" w:eastAsia="en-US"/>
        </w:rPr>
        <w:t xml:space="preserve"> in different </w:t>
      </w:r>
      <w:r w:rsidRPr="00E05BFE">
        <w:rPr>
          <w:rFonts w:eastAsia="Times New Roman"/>
          <w:noProof/>
          <w:snapToGrid w:val="0"/>
          <w:szCs w:val="24"/>
          <w:lang w:val="en-US" w:eastAsia="en-US"/>
        </w:rPr>
        <w:t>forms</w:t>
      </w:r>
      <w:r w:rsidRPr="00E05BFE">
        <w:rPr>
          <w:rFonts w:eastAsia="Times New Roman"/>
          <w:snapToGrid w:val="0"/>
          <w:szCs w:val="24"/>
          <w:lang w:val="en-US" w:eastAsia="en-US"/>
        </w:rPr>
        <w:t xml:space="preserve"> such as modal damping energy, kinetic energy, pote</w:t>
      </w:r>
      <w:r w:rsidRPr="00E05BFE">
        <w:rPr>
          <w:rFonts w:eastAsia="Times New Roman"/>
          <w:noProof/>
          <w:snapToGrid w:val="0"/>
          <w:szCs w:val="24"/>
          <w:lang w:val="en-US" w:eastAsia="en-US"/>
        </w:rPr>
        <w:t>ntial energy, hysteretic energy, and</w:t>
      </w:r>
      <w:r w:rsidRPr="00E05BFE">
        <w:rPr>
          <w:rFonts w:eastAsia="Times New Roman"/>
          <w:snapToGrid w:val="0"/>
          <w:szCs w:val="24"/>
          <w:lang w:val="en-US" w:eastAsia="en-US"/>
        </w:rPr>
        <w:t xml:space="preserve"> link energy. Out of them, </w:t>
      </w:r>
      <w:r w:rsidRPr="00E05BFE">
        <w:rPr>
          <w:rFonts w:eastAsia="Times New Roman"/>
          <w:noProof/>
          <w:snapToGrid w:val="0"/>
          <w:szCs w:val="24"/>
          <w:lang w:val="en-US" w:eastAsia="en-US"/>
        </w:rPr>
        <w:t>energyis especially  dissipated</w:t>
      </w:r>
      <w:r w:rsidRPr="00E05BFE">
        <w:rPr>
          <w:rFonts w:eastAsia="Times New Roman"/>
          <w:snapToGrid w:val="0"/>
          <w:szCs w:val="24"/>
          <w:lang w:val="en-US" w:eastAsia="en-US"/>
        </w:rPr>
        <w:t xml:space="preserve"> in modal damping and link hysteretic </w:t>
      </w:r>
      <w:r w:rsidRPr="00E05BFE">
        <w:rPr>
          <w:rFonts w:eastAsia="Times New Roman"/>
          <w:snapToGrid w:val="0"/>
          <w:szCs w:val="24"/>
          <w:lang w:val="en-US" w:eastAsia="en-US"/>
        </w:rPr>
        <w:lastRenderedPageBreak/>
        <w:t>effect for the SR frames as seen in Tables 5 and 6.</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center"/>
        <w:rPr>
          <w:rFonts w:eastAsia="Times New Roman"/>
          <w:snapToGrid w:val="0"/>
          <w:szCs w:val="24"/>
          <w:lang w:val="en-US" w:eastAsia="en-US"/>
        </w:rPr>
      </w:pPr>
      <w:r w:rsidRPr="00E05BFE">
        <w:rPr>
          <w:rFonts w:eastAsia="Times New Roman"/>
          <w:noProof/>
          <w:snapToGrid w:val="0"/>
          <w:szCs w:val="24"/>
        </w:rPr>
        <w:drawing>
          <wp:inline distT="0" distB="0" distL="0" distR="0" wp14:anchorId="4C886A06" wp14:editId="28584744">
            <wp:extent cx="5729306" cy="4682488"/>
            <wp:effectExtent l="19050" t="0" r="4744" b="0"/>
            <wp:docPr id="9" name="Picture 10" descr="D:\Vijay Sharma\SAP DIRECTORY\Conference 3_16WCSI Russia\Paper 2 Performance Level_POA and NLTHA\Response Result\Origin Plots\5 Energy 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jay Sharma\SAP DIRECTORY\Conference 3_16WCSI Russia\Paper 2 Performance Level_POA and NLTHA\Response Result\Origin Plots\5 Energy Content.jpg"/>
                    <pic:cNvPicPr>
                      <a:picLocks noChangeAspect="1" noChangeArrowheads="1"/>
                    </pic:cNvPicPr>
                  </pic:nvPicPr>
                  <pic:blipFill>
                    <a:blip r:embed="rId14" cstate="print"/>
                    <a:srcRect b="1803"/>
                    <a:stretch>
                      <a:fillRect/>
                    </a:stretch>
                  </pic:blipFill>
                  <pic:spPr bwMode="auto">
                    <a:xfrm>
                      <a:off x="0" y="0"/>
                      <a:ext cx="5729306" cy="4682488"/>
                    </a:xfrm>
                    <a:prstGeom prst="rect">
                      <a:avLst/>
                    </a:prstGeom>
                    <a:noFill/>
                    <a:ln w="9525">
                      <a:noFill/>
                      <a:miter lim="800000"/>
                      <a:headEnd/>
                      <a:tailEnd/>
                    </a:ln>
                  </pic:spPr>
                </pic:pic>
              </a:graphicData>
            </a:graphic>
          </wp:inline>
        </w:drawing>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center"/>
        <w:rPr>
          <w:rFonts w:eastAsia="Times New Roman"/>
          <w:snapToGrid w:val="0"/>
          <w:sz w:val="20"/>
          <w:szCs w:val="24"/>
          <w:lang w:val="en-US" w:eastAsia="en-US"/>
        </w:rPr>
      </w:pPr>
      <w:r w:rsidRPr="00E05BFE">
        <w:rPr>
          <w:rFonts w:eastAsia="Times New Roman"/>
          <w:snapToGrid w:val="0"/>
          <w:sz w:val="20"/>
          <w:szCs w:val="24"/>
          <w:lang w:val="en-US" w:eastAsia="en-US"/>
        </w:rPr>
        <w:t xml:space="preserve">Figure 5. Comparison Of Energy Dissipation In FRC And SR-1 Frames At 0.7g PGA For  </w:t>
      </w:r>
      <w:r w:rsidRPr="00E05BFE">
        <w:rPr>
          <w:rFonts w:eastAsia="Times New Roman"/>
          <w:noProof/>
          <w:snapToGrid w:val="0"/>
          <w:sz w:val="20"/>
          <w:szCs w:val="24"/>
          <w:lang w:val="en-US" w:eastAsia="en-US"/>
        </w:rPr>
        <w:t>San Fernando</w:t>
      </w:r>
      <w:r w:rsidRPr="00E05BFE">
        <w:rPr>
          <w:rFonts w:eastAsia="Times New Roman"/>
          <w:snapToGrid w:val="0"/>
          <w:sz w:val="20"/>
          <w:szCs w:val="24"/>
          <w:lang w:val="en-US" w:eastAsia="en-US"/>
        </w:rPr>
        <w:t>(FF) Earthquake (A-B);  And  Erzincan (NFD) Earthquake (C-D)</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center"/>
        <w:rPr>
          <w:rFonts w:eastAsia="Times New Roman"/>
          <w:snapToGrid w:val="0"/>
          <w:sz w:val="20"/>
          <w:szCs w:val="24"/>
          <w:lang w:val="en-US" w:eastAsia="en-US"/>
        </w:rPr>
      </w:pPr>
      <w:r w:rsidRPr="00E05BFE">
        <w:rPr>
          <w:rFonts w:eastAsia="Times New Roman"/>
          <w:snapToGrid w:val="0"/>
          <w:sz w:val="20"/>
          <w:szCs w:val="24"/>
          <w:lang w:val="en-US" w:eastAsia="en-US"/>
        </w:rPr>
        <w:t xml:space="preserve">Table 5. Comparison of various forms of </w:t>
      </w:r>
      <w:r w:rsidRPr="00E05BFE">
        <w:rPr>
          <w:rFonts w:eastAsia="Times New Roman"/>
          <w:noProof/>
          <w:snapToGrid w:val="0"/>
          <w:sz w:val="20"/>
          <w:szCs w:val="24"/>
          <w:lang w:val="en-US" w:eastAsia="en-US"/>
        </w:rPr>
        <w:t>%</w:t>
      </w:r>
      <w:r w:rsidRPr="00E05BFE">
        <w:rPr>
          <w:rFonts w:eastAsia="Times New Roman"/>
          <w:snapToGrid w:val="0"/>
          <w:sz w:val="20"/>
          <w:szCs w:val="24"/>
          <w:lang w:val="en-US" w:eastAsia="en-US"/>
        </w:rPr>
        <w:t>difference in energy dissipation at 0.7g PGA in FRC and SR frames</w:t>
      </w:r>
    </w:p>
    <w:p w:rsidR="00E05BFE" w:rsidRPr="00E05BFE" w:rsidRDefault="00E05BFE" w:rsidP="00E05BFE">
      <w:pPr>
        <w:widowControl w:val="0"/>
        <w:spacing w:after="0" w:line="240" w:lineRule="auto"/>
        <w:jc w:val="both"/>
        <w:rPr>
          <w:rFonts w:eastAsia="Times New Roman"/>
          <w:snapToGrid w:val="0"/>
          <w:szCs w:val="24"/>
          <w:lang w:val="en-US" w:eastAsia="en-US"/>
        </w:rPr>
      </w:pP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230"/>
        <w:gridCol w:w="848"/>
        <w:gridCol w:w="848"/>
        <w:gridCol w:w="848"/>
        <w:gridCol w:w="848"/>
        <w:gridCol w:w="847"/>
        <w:gridCol w:w="847"/>
        <w:gridCol w:w="847"/>
        <w:gridCol w:w="847"/>
        <w:gridCol w:w="844"/>
      </w:tblGrid>
      <w:tr w:rsidR="00E05BFE" w:rsidRPr="00E05BFE" w:rsidTr="00B97EDB">
        <w:trPr>
          <w:trHeight w:val="315"/>
          <w:jc w:val="center"/>
        </w:trPr>
        <w:tc>
          <w:tcPr>
            <w:tcW w:w="1131" w:type="pct"/>
            <w:vMerge w:val="restart"/>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Frame-ID</w:t>
            </w:r>
          </w:p>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p>
        </w:tc>
        <w:tc>
          <w:tcPr>
            <w:tcW w:w="1290" w:type="pct"/>
            <w:gridSpan w:val="3"/>
            <w:shd w:val="clear" w:color="auto" w:fill="auto"/>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Input Energy</w:t>
            </w:r>
          </w:p>
        </w:tc>
        <w:tc>
          <w:tcPr>
            <w:tcW w:w="1290" w:type="pct"/>
            <w:gridSpan w:val="3"/>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Kinetic Energy</w:t>
            </w:r>
          </w:p>
        </w:tc>
        <w:tc>
          <w:tcPr>
            <w:tcW w:w="1288" w:type="pct"/>
            <w:gridSpan w:val="3"/>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Potential Energy</w:t>
            </w:r>
          </w:p>
        </w:tc>
      </w:tr>
      <w:tr w:rsidR="00E05BFE" w:rsidRPr="00E05BFE" w:rsidTr="00B97EDB">
        <w:trPr>
          <w:trHeight w:val="315"/>
          <w:jc w:val="center"/>
        </w:trPr>
        <w:tc>
          <w:tcPr>
            <w:tcW w:w="1131" w:type="pct"/>
            <w:vMerge/>
            <w:tcBorders>
              <w:bottom w:val="single" w:sz="4"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p>
        </w:tc>
        <w:tc>
          <w:tcPr>
            <w:tcW w:w="430" w:type="pct"/>
            <w:tcBorders>
              <w:bottom w:val="single" w:sz="4"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FF</w:t>
            </w:r>
          </w:p>
        </w:tc>
        <w:tc>
          <w:tcPr>
            <w:tcW w:w="430" w:type="pct"/>
            <w:tcBorders>
              <w:bottom w:val="single" w:sz="4"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NFD</w:t>
            </w:r>
          </w:p>
        </w:tc>
        <w:tc>
          <w:tcPr>
            <w:tcW w:w="430" w:type="pct"/>
            <w:tcBorders>
              <w:bottom w:val="single" w:sz="4"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NFF</w:t>
            </w:r>
          </w:p>
        </w:tc>
        <w:tc>
          <w:tcPr>
            <w:tcW w:w="430" w:type="pct"/>
            <w:tcBorders>
              <w:bottom w:val="single" w:sz="4"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FF</w:t>
            </w:r>
          </w:p>
        </w:tc>
        <w:tc>
          <w:tcPr>
            <w:tcW w:w="430" w:type="pct"/>
            <w:tcBorders>
              <w:bottom w:val="single" w:sz="4"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NFD</w:t>
            </w:r>
          </w:p>
        </w:tc>
        <w:tc>
          <w:tcPr>
            <w:tcW w:w="430" w:type="pct"/>
            <w:tcBorders>
              <w:bottom w:val="single" w:sz="4"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NFF</w:t>
            </w:r>
          </w:p>
        </w:tc>
        <w:tc>
          <w:tcPr>
            <w:tcW w:w="430" w:type="pct"/>
            <w:tcBorders>
              <w:bottom w:val="single" w:sz="4"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FF</w:t>
            </w:r>
          </w:p>
        </w:tc>
        <w:tc>
          <w:tcPr>
            <w:tcW w:w="430" w:type="pct"/>
            <w:tcBorders>
              <w:bottom w:val="single" w:sz="4"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NFD</w:t>
            </w:r>
          </w:p>
        </w:tc>
        <w:tc>
          <w:tcPr>
            <w:tcW w:w="428" w:type="pct"/>
            <w:tcBorders>
              <w:bottom w:val="single" w:sz="4" w:space="0" w:color="auto"/>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NFF</w:t>
            </w:r>
          </w:p>
        </w:tc>
      </w:tr>
      <w:tr w:rsidR="00E05BFE" w:rsidRPr="00E05BFE" w:rsidTr="00B97EDB">
        <w:trPr>
          <w:trHeight w:val="315"/>
          <w:jc w:val="center"/>
        </w:trPr>
        <w:tc>
          <w:tcPr>
            <w:tcW w:w="1131"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FRC and SR-2</w:t>
            </w:r>
          </w:p>
        </w:tc>
        <w:tc>
          <w:tcPr>
            <w:tcW w:w="43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-26.79</w:t>
            </w:r>
          </w:p>
        </w:tc>
        <w:tc>
          <w:tcPr>
            <w:tcW w:w="43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11.07</w:t>
            </w:r>
          </w:p>
        </w:tc>
        <w:tc>
          <w:tcPr>
            <w:tcW w:w="43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8.97</w:t>
            </w:r>
          </w:p>
        </w:tc>
        <w:tc>
          <w:tcPr>
            <w:tcW w:w="43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-13.36</w:t>
            </w:r>
          </w:p>
        </w:tc>
        <w:tc>
          <w:tcPr>
            <w:tcW w:w="43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9.40</w:t>
            </w:r>
          </w:p>
        </w:tc>
        <w:tc>
          <w:tcPr>
            <w:tcW w:w="43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9.46</w:t>
            </w:r>
          </w:p>
        </w:tc>
        <w:tc>
          <w:tcPr>
            <w:tcW w:w="43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9.51</w:t>
            </w:r>
          </w:p>
        </w:tc>
        <w:tc>
          <w:tcPr>
            <w:tcW w:w="430"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3.21</w:t>
            </w:r>
          </w:p>
        </w:tc>
        <w:tc>
          <w:tcPr>
            <w:tcW w:w="428" w:type="pct"/>
            <w:tcBorders>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25.99</w:t>
            </w:r>
          </w:p>
        </w:tc>
      </w:tr>
      <w:tr w:rsidR="00E05BFE" w:rsidRPr="00E05BFE" w:rsidTr="00B97EDB">
        <w:trPr>
          <w:trHeight w:val="315"/>
          <w:jc w:val="center"/>
        </w:trPr>
        <w:tc>
          <w:tcPr>
            <w:tcW w:w="1131"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FRC and SR-1</w:t>
            </w:r>
          </w:p>
        </w:tc>
        <w:tc>
          <w:tcPr>
            <w:tcW w:w="43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-53.56</w:t>
            </w:r>
          </w:p>
        </w:tc>
        <w:tc>
          <w:tcPr>
            <w:tcW w:w="43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7.21</w:t>
            </w:r>
          </w:p>
        </w:tc>
        <w:tc>
          <w:tcPr>
            <w:tcW w:w="43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7.87</w:t>
            </w:r>
          </w:p>
        </w:tc>
        <w:tc>
          <w:tcPr>
            <w:tcW w:w="43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-35.23</w:t>
            </w:r>
          </w:p>
        </w:tc>
        <w:tc>
          <w:tcPr>
            <w:tcW w:w="43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1.89</w:t>
            </w:r>
          </w:p>
        </w:tc>
        <w:tc>
          <w:tcPr>
            <w:tcW w:w="43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-0.43</w:t>
            </w:r>
          </w:p>
        </w:tc>
        <w:tc>
          <w:tcPr>
            <w:tcW w:w="43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-16.49</w:t>
            </w:r>
          </w:p>
        </w:tc>
        <w:tc>
          <w:tcPr>
            <w:tcW w:w="430"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-7.50</w:t>
            </w:r>
          </w:p>
        </w:tc>
        <w:tc>
          <w:tcPr>
            <w:tcW w:w="428" w:type="pct"/>
            <w:tcBorders>
              <w:top w:val="nil"/>
              <w:bottom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15.58</w:t>
            </w:r>
          </w:p>
        </w:tc>
      </w:tr>
      <w:tr w:rsidR="00E05BFE" w:rsidRPr="00E05BFE" w:rsidTr="00B97EDB">
        <w:trPr>
          <w:trHeight w:val="315"/>
          <w:jc w:val="center"/>
        </w:trPr>
        <w:tc>
          <w:tcPr>
            <w:tcW w:w="1131"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SR-2 and SR-1</w:t>
            </w:r>
          </w:p>
        </w:tc>
        <w:tc>
          <w:tcPr>
            <w:tcW w:w="430"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-21.11</w:t>
            </w:r>
          </w:p>
        </w:tc>
        <w:tc>
          <w:tcPr>
            <w:tcW w:w="430"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-4.34</w:t>
            </w:r>
          </w:p>
        </w:tc>
        <w:tc>
          <w:tcPr>
            <w:tcW w:w="430"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-1.21</w:t>
            </w:r>
          </w:p>
        </w:tc>
        <w:tc>
          <w:tcPr>
            <w:tcW w:w="430"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-19.30</w:t>
            </w:r>
          </w:p>
        </w:tc>
        <w:tc>
          <w:tcPr>
            <w:tcW w:w="430"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-8.29</w:t>
            </w:r>
          </w:p>
        </w:tc>
        <w:tc>
          <w:tcPr>
            <w:tcW w:w="430"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-10.93</w:t>
            </w:r>
          </w:p>
        </w:tc>
        <w:tc>
          <w:tcPr>
            <w:tcW w:w="430"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-28.73</w:t>
            </w:r>
          </w:p>
        </w:tc>
        <w:tc>
          <w:tcPr>
            <w:tcW w:w="430"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-11.07</w:t>
            </w:r>
          </w:p>
        </w:tc>
        <w:tc>
          <w:tcPr>
            <w:tcW w:w="428" w:type="pct"/>
            <w:tcBorders>
              <w:top w:val="nil"/>
            </w:tcBorders>
            <w:shd w:val="clear" w:color="auto" w:fill="auto"/>
            <w:noWrap/>
            <w:vAlign w:val="center"/>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-14.06</w:t>
            </w:r>
          </w:p>
        </w:tc>
      </w:tr>
    </w:tbl>
    <w:p w:rsidR="00E05BFE" w:rsidRPr="00E05BFE" w:rsidRDefault="00E05BFE" w:rsidP="00E05BFE">
      <w:pPr>
        <w:widowControl w:val="0"/>
        <w:spacing w:after="0" w:line="240" w:lineRule="auto"/>
        <w:jc w:val="both"/>
        <w:rPr>
          <w:rFonts w:eastAsia="Times New Roman"/>
          <w:snapToGrid w:val="0"/>
          <w:sz w:val="20"/>
          <w:szCs w:val="24"/>
          <w:lang w:val="en-US" w:eastAsia="en-US"/>
        </w:rPr>
      </w:pPr>
    </w:p>
    <w:p w:rsidR="00E05BFE" w:rsidRPr="00E05BFE" w:rsidRDefault="00E05BFE" w:rsidP="00E05BFE">
      <w:pPr>
        <w:widowControl w:val="0"/>
        <w:spacing w:after="0" w:line="240" w:lineRule="auto"/>
        <w:jc w:val="center"/>
        <w:rPr>
          <w:rFonts w:eastAsia="Times New Roman"/>
          <w:snapToGrid w:val="0"/>
          <w:sz w:val="20"/>
          <w:szCs w:val="24"/>
          <w:lang w:val="en-US" w:eastAsia="en-US"/>
        </w:rPr>
      </w:pPr>
      <w:r w:rsidRPr="00E05BFE">
        <w:rPr>
          <w:rFonts w:eastAsia="Times New Roman"/>
          <w:snapToGrid w:val="0"/>
          <w:sz w:val="20"/>
          <w:szCs w:val="24"/>
          <w:lang w:val="en-US" w:eastAsia="en-US"/>
        </w:rPr>
        <w:t xml:space="preserve">Table 6. Comparison of various forms of </w:t>
      </w:r>
      <w:r w:rsidRPr="00E05BFE">
        <w:rPr>
          <w:rFonts w:eastAsia="Times New Roman"/>
          <w:noProof/>
          <w:snapToGrid w:val="0"/>
          <w:sz w:val="20"/>
          <w:szCs w:val="24"/>
          <w:lang w:val="en-US" w:eastAsia="en-US"/>
        </w:rPr>
        <w:t>%</w:t>
      </w:r>
      <w:r w:rsidRPr="00E05BFE">
        <w:rPr>
          <w:rFonts w:eastAsia="Times New Roman"/>
          <w:snapToGrid w:val="0"/>
          <w:sz w:val="20"/>
          <w:szCs w:val="24"/>
          <w:lang w:val="en-US" w:eastAsia="en-US"/>
        </w:rPr>
        <w:t>difference in energy dissipation at 0.7g PGA in FRC and SR frames.</w:t>
      </w:r>
    </w:p>
    <w:p w:rsidR="00E05BFE" w:rsidRPr="00E05BFE" w:rsidRDefault="00E05BFE" w:rsidP="00E05BFE">
      <w:pPr>
        <w:widowControl w:val="0"/>
        <w:spacing w:after="0" w:line="240" w:lineRule="auto"/>
        <w:jc w:val="both"/>
        <w:rPr>
          <w:rFonts w:eastAsia="Times New Roman"/>
          <w:snapToGrid w:val="0"/>
          <w:sz w:val="20"/>
          <w:szCs w:val="24"/>
          <w:lang w:val="en-US" w:eastAsia="en-U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532"/>
        <w:gridCol w:w="1220"/>
        <w:gridCol w:w="1220"/>
        <w:gridCol w:w="1222"/>
        <w:gridCol w:w="1220"/>
        <w:gridCol w:w="1220"/>
        <w:gridCol w:w="1220"/>
      </w:tblGrid>
      <w:tr w:rsidR="00E05BFE" w:rsidRPr="00E05BFE" w:rsidTr="00B97EDB">
        <w:trPr>
          <w:trHeight w:val="315"/>
        </w:trPr>
        <w:tc>
          <w:tcPr>
            <w:tcW w:w="1285" w:type="pct"/>
            <w:vMerge w:val="restart"/>
            <w:shd w:val="clear" w:color="auto" w:fill="auto"/>
            <w:noWrap/>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Frame-ID</w:t>
            </w:r>
          </w:p>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p>
        </w:tc>
        <w:tc>
          <w:tcPr>
            <w:tcW w:w="1858" w:type="pct"/>
            <w:gridSpan w:val="3"/>
            <w:shd w:val="clear" w:color="auto" w:fill="auto"/>
            <w:noWrap/>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Modal Damping Energy</w:t>
            </w:r>
          </w:p>
        </w:tc>
        <w:tc>
          <w:tcPr>
            <w:tcW w:w="1857" w:type="pct"/>
            <w:gridSpan w:val="3"/>
            <w:shd w:val="clear" w:color="auto" w:fill="auto"/>
            <w:noWrap/>
            <w:hideMark/>
          </w:tcPr>
          <w:p w:rsidR="00E05BFE" w:rsidRPr="00E05BFE" w:rsidRDefault="00E05BFE" w:rsidP="00E05BFE">
            <w:pPr>
              <w:widowControl w:val="0"/>
              <w:spacing w:after="0" w:line="240" w:lineRule="auto"/>
              <w:jc w:val="center"/>
              <w:rPr>
                <w:rFonts w:eastAsia="Times New Roman"/>
                <w:b/>
                <w:snapToGrid w:val="0"/>
                <w:color w:val="000000"/>
                <w:szCs w:val="24"/>
                <w:lang w:val="en-US" w:eastAsia="en-US"/>
              </w:rPr>
            </w:pPr>
            <w:r w:rsidRPr="00E05BFE">
              <w:rPr>
                <w:rFonts w:eastAsia="Times New Roman"/>
                <w:b/>
                <w:snapToGrid w:val="0"/>
                <w:color w:val="000000"/>
                <w:szCs w:val="24"/>
                <w:lang w:val="en-US" w:eastAsia="en-US"/>
              </w:rPr>
              <w:t>Link Hysteretic Energy</w:t>
            </w:r>
          </w:p>
        </w:tc>
      </w:tr>
      <w:tr w:rsidR="00E05BFE" w:rsidRPr="00E05BFE" w:rsidTr="00B97EDB">
        <w:trPr>
          <w:trHeight w:val="315"/>
        </w:trPr>
        <w:tc>
          <w:tcPr>
            <w:tcW w:w="1285" w:type="pct"/>
            <w:vMerge/>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 w:val="24"/>
                <w:szCs w:val="24"/>
                <w:lang w:val="en-US" w:eastAsia="en-US"/>
              </w:rPr>
            </w:pP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b/>
                <w:snapToGrid w:val="0"/>
                <w:color w:val="000000"/>
                <w:sz w:val="24"/>
                <w:szCs w:val="24"/>
                <w:lang w:val="en-US" w:eastAsia="en-US"/>
              </w:rPr>
            </w:pPr>
            <w:r w:rsidRPr="00E05BFE">
              <w:rPr>
                <w:rFonts w:eastAsia="Times New Roman"/>
                <w:b/>
                <w:snapToGrid w:val="0"/>
                <w:color w:val="000000"/>
                <w:sz w:val="24"/>
                <w:szCs w:val="24"/>
                <w:lang w:val="en-US" w:eastAsia="en-US"/>
              </w:rPr>
              <w:t>FF</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b/>
                <w:snapToGrid w:val="0"/>
                <w:color w:val="000000"/>
                <w:sz w:val="24"/>
                <w:szCs w:val="24"/>
                <w:lang w:val="en-US" w:eastAsia="en-US"/>
              </w:rPr>
            </w:pPr>
            <w:r w:rsidRPr="00E05BFE">
              <w:rPr>
                <w:rFonts w:eastAsia="Times New Roman"/>
                <w:b/>
                <w:snapToGrid w:val="0"/>
                <w:color w:val="000000"/>
                <w:sz w:val="24"/>
                <w:szCs w:val="24"/>
                <w:lang w:val="en-US" w:eastAsia="en-US"/>
              </w:rPr>
              <w:t>NFD</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b/>
                <w:snapToGrid w:val="0"/>
                <w:color w:val="000000"/>
                <w:sz w:val="24"/>
                <w:szCs w:val="24"/>
                <w:lang w:val="en-US" w:eastAsia="en-US"/>
              </w:rPr>
            </w:pPr>
            <w:r w:rsidRPr="00E05BFE">
              <w:rPr>
                <w:rFonts w:eastAsia="Times New Roman"/>
                <w:b/>
                <w:snapToGrid w:val="0"/>
                <w:color w:val="000000"/>
                <w:sz w:val="24"/>
                <w:szCs w:val="24"/>
                <w:lang w:val="en-US" w:eastAsia="en-US"/>
              </w:rPr>
              <w:t>NFF</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b/>
                <w:snapToGrid w:val="0"/>
                <w:color w:val="000000"/>
                <w:sz w:val="24"/>
                <w:szCs w:val="24"/>
                <w:lang w:val="en-US" w:eastAsia="en-US"/>
              </w:rPr>
            </w:pPr>
            <w:r w:rsidRPr="00E05BFE">
              <w:rPr>
                <w:rFonts w:eastAsia="Times New Roman"/>
                <w:b/>
                <w:snapToGrid w:val="0"/>
                <w:color w:val="000000"/>
                <w:sz w:val="24"/>
                <w:szCs w:val="24"/>
                <w:lang w:val="en-US" w:eastAsia="en-US"/>
              </w:rPr>
              <w:t>FF</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b/>
                <w:snapToGrid w:val="0"/>
                <w:color w:val="000000"/>
                <w:sz w:val="24"/>
                <w:szCs w:val="24"/>
                <w:lang w:val="en-US" w:eastAsia="en-US"/>
              </w:rPr>
            </w:pPr>
            <w:r w:rsidRPr="00E05BFE">
              <w:rPr>
                <w:rFonts w:eastAsia="Times New Roman"/>
                <w:b/>
                <w:snapToGrid w:val="0"/>
                <w:color w:val="000000"/>
                <w:sz w:val="24"/>
                <w:szCs w:val="24"/>
                <w:lang w:val="en-US" w:eastAsia="en-US"/>
              </w:rPr>
              <w:t>NFD</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b/>
                <w:snapToGrid w:val="0"/>
                <w:color w:val="000000"/>
                <w:sz w:val="24"/>
                <w:szCs w:val="24"/>
                <w:lang w:val="en-US" w:eastAsia="en-US"/>
              </w:rPr>
            </w:pPr>
            <w:r w:rsidRPr="00E05BFE">
              <w:rPr>
                <w:rFonts w:eastAsia="Times New Roman"/>
                <w:b/>
                <w:snapToGrid w:val="0"/>
                <w:color w:val="000000"/>
                <w:sz w:val="24"/>
                <w:szCs w:val="24"/>
                <w:lang w:val="en-US" w:eastAsia="en-US"/>
              </w:rPr>
              <w:t>NFF</w:t>
            </w:r>
          </w:p>
        </w:tc>
      </w:tr>
      <w:tr w:rsidR="00E05BFE" w:rsidRPr="00E05BFE" w:rsidTr="00B97EDB">
        <w:trPr>
          <w:trHeight w:val="315"/>
        </w:trPr>
        <w:tc>
          <w:tcPr>
            <w:tcW w:w="1285" w:type="pct"/>
            <w:shd w:val="clear" w:color="auto" w:fill="auto"/>
            <w:noWrap/>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r w:rsidRPr="00E05BFE">
              <w:rPr>
                <w:rFonts w:eastAsia="Times New Roman"/>
                <w:snapToGrid w:val="0"/>
                <w:color w:val="000000"/>
                <w:szCs w:val="24"/>
                <w:lang w:val="en-US" w:eastAsia="en-US"/>
              </w:rPr>
              <w:t>FRC and SR-1</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-9.00</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17.00</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16.23</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-73.21</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1.71</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-2.56</w:t>
            </w:r>
          </w:p>
        </w:tc>
      </w:tr>
      <w:tr w:rsidR="00E05BFE" w:rsidRPr="00E05BFE" w:rsidTr="00B97EDB">
        <w:trPr>
          <w:trHeight w:val="315"/>
        </w:trPr>
        <w:tc>
          <w:tcPr>
            <w:tcW w:w="1285" w:type="pct"/>
            <w:shd w:val="clear" w:color="auto" w:fill="auto"/>
            <w:noWrap/>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r w:rsidRPr="00E05BFE">
              <w:rPr>
                <w:rFonts w:eastAsia="Times New Roman"/>
                <w:snapToGrid w:val="0"/>
                <w:color w:val="000000"/>
                <w:szCs w:val="24"/>
                <w:lang w:val="en-US" w:eastAsia="en-US"/>
              </w:rPr>
              <w:t>FRC and SR-2</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-26.43</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3.00</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8.66</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-123.62</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20.47</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7.12</w:t>
            </w:r>
          </w:p>
        </w:tc>
      </w:tr>
      <w:tr w:rsidR="00E05BFE" w:rsidRPr="00E05BFE" w:rsidTr="00B97EDB">
        <w:trPr>
          <w:trHeight w:val="315"/>
        </w:trPr>
        <w:tc>
          <w:tcPr>
            <w:tcW w:w="1285" w:type="pct"/>
            <w:shd w:val="clear" w:color="auto" w:fill="auto"/>
            <w:noWrap/>
            <w:hideMark/>
          </w:tcPr>
          <w:p w:rsidR="00E05BFE" w:rsidRPr="00E05BFE" w:rsidRDefault="00E05BFE" w:rsidP="00E05BFE">
            <w:pPr>
              <w:widowControl w:val="0"/>
              <w:spacing w:after="0" w:line="240" w:lineRule="auto"/>
              <w:jc w:val="both"/>
              <w:rPr>
                <w:rFonts w:eastAsia="Times New Roman"/>
                <w:snapToGrid w:val="0"/>
                <w:color w:val="000000"/>
                <w:szCs w:val="24"/>
                <w:lang w:val="en-US" w:eastAsia="en-US"/>
              </w:rPr>
            </w:pPr>
            <w:r w:rsidRPr="00E05BFE">
              <w:rPr>
                <w:rFonts w:eastAsia="Times New Roman"/>
                <w:snapToGrid w:val="0"/>
                <w:color w:val="000000"/>
                <w:szCs w:val="24"/>
                <w:lang w:val="en-US" w:eastAsia="en-US"/>
              </w:rPr>
              <w:t>SR-1 and SR-2</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-15.99</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18.75</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-9.04</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-29.10</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19.08</w:t>
            </w:r>
          </w:p>
        </w:tc>
        <w:tc>
          <w:tcPr>
            <w:tcW w:w="619" w:type="pct"/>
            <w:shd w:val="clear" w:color="auto" w:fill="auto"/>
            <w:noWrap/>
            <w:hideMark/>
          </w:tcPr>
          <w:p w:rsidR="00E05BFE" w:rsidRPr="00E05BFE" w:rsidRDefault="00E05BFE" w:rsidP="00E05BFE">
            <w:pPr>
              <w:widowControl w:val="0"/>
              <w:spacing w:after="0" w:line="240" w:lineRule="auto"/>
              <w:jc w:val="center"/>
              <w:rPr>
                <w:rFonts w:eastAsia="Times New Roman"/>
                <w:snapToGrid w:val="0"/>
                <w:color w:val="000000"/>
                <w:szCs w:val="24"/>
                <w:lang w:val="en-US" w:eastAsia="en-US"/>
              </w:rPr>
            </w:pPr>
            <w:r w:rsidRPr="00E05BFE">
              <w:rPr>
                <w:rFonts w:eastAsia="Times New Roman"/>
                <w:snapToGrid w:val="0"/>
                <w:color w:val="000000"/>
                <w:szCs w:val="24"/>
                <w:lang w:val="en-US" w:eastAsia="en-US"/>
              </w:rPr>
              <w:t>9.44</w:t>
            </w:r>
          </w:p>
        </w:tc>
      </w:tr>
    </w:tbl>
    <w:p w:rsidR="00E05BFE" w:rsidRPr="00E05BFE" w:rsidRDefault="00E05BFE" w:rsidP="00E05BFE">
      <w:pPr>
        <w:spacing w:after="160" w:line="259" w:lineRule="auto"/>
        <w:rPr>
          <w:rFonts w:eastAsia="Times New Roman"/>
          <w:snapToGrid w:val="0"/>
          <w:szCs w:val="24"/>
          <w:lang w:val="en-US" w:eastAsia="en-US"/>
        </w:rPr>
      </w:pPr>
      <w:r w:rsidRPr="00E05BFE">
        <w:rPr>
          <w:rFonts w:eastAsia="Times New Roman"/>
          <w:snapToGrid w:val="0"/>
          <w:szCs w:val="24"/>
          <w:lang w:val="en-US" w:eastAsia="en-US"/>
        </w:rPr>
        <w:br w:type="page"/>
      </w:r>
    </w:p>
    <w:p w:rsidR="00E05BFE" w:rsidRPr="00E05BFE" w:rsidRDefault="00E05BFE" w:rsidP="00E05BFE">
      <w:pPr>
        <w:keepNext/>
        <w:widowControl w:val="0"/>
        <w:suppressAutoHyphens/>
        <w:spacing w:after="0" w:line="240" w:lineRule="auto"/>
        <w:ind w:left="270" w:hanging="270"/>
        <w:jc w:val="both"/>
        <w:outlineLvl w:val="0"/>
        <w:rPr>
          <w:rFonts w:eastAsia="Times New Roman"/>
          <w:b/>
          <w:caps/>
          <w:snapToGrid w:val="0"/>
          <w:szCs w:val="24"/>
          <w:lang w:val="en-US" w:eastAsia="en-US"/>
        </w:rPr>
      </w:pPr>
      <w:r w:rsidRPr="00E05BFE">
        <w:rPr>
          <w:rFonts w:eastAsia="Times New Roman"/>
          <w:b/>
          <w:caps/>
          <w:snapToGrid w:val="0"/>
          <w:szCs w:val="24"/>
          <w:lang w:val="en-US" w:eastAsia="en-US"/>
        </w:rPr>
        <w:t>5. CONCLUSIONS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0" w:line="240" w:lineRule="auto"/>
        <w:jc w:val="both"/>
        <w:rPr>
          <w:rFonts w:eastAsia="Times New Roman"/>
          <w:snapToGrid w:val="0"/>
          <w:szCs w:val="24"/>
          <w:lang w:val="en-US" w:eastAsia="en-US"/>
        </w:rPr>
      </w:pPr>
      <w:r w:rsidRPr="00E05BFE">
        <w:rPr>
          <w:rFonts w:eastAsia="Times New Roman"/>
          <w:snapToGrid w:val="0"/>
          <w:szCs w:val="24"/>
          <w:lang w:val="en-US" w:eastAsia="en-US"/>
        </w:rPr>
        <w:t xml:space="preserve">The behavior of a 5-story semi-rigid jointed frame </w:t>
      </w:r>
      <w:r w:rsidRPr="00E05BFE">
        <w:rPr>
          <w:rFonts w:eastAsia="Times New Roman"/>
          <w:noProof/>
          <w:snapToGrid w:val="0"/>
          <w:szCs w:val="24"/>
          <w:lang w:val="en-US" w:eastAsia="en-US"/>
        </w:rPr>
        <w:t>is investigated</w:t>
      </w:r>
      <w:r w:rsidRPr="00E05BFE">
        <w:rPr>
          <w:rFonts w:eastAsia="Times New Roman"/>
          <w:snapToGrid w:val="0"/>
          <w:szCs w:val="24"/>
          <w:lang w:val="en-US" w:eastAsia="en-US"/>
        </w:rPr>
        <w:t xml:space="preserve"> at three performance points obtained from the </w:t>
      </w:r>
      <w:r w:rsidRPr="00E05BFE">
        <w:rPr>
          <w:rFonts w:eastAsia="Times New Roman"/>
          <w:noProof/>
          <w:snapToGrid w:val="0"/>
          <w:szCs w:val="24"/>
          <w:lang w:val="en-US" w:eastAsia="en-US"/>
        </w:rPr>
        <w:t>pushover</w:t>
      </w:r>
      <w:r w:rsidRPr="00E05BFE">
        <w:rPr>
          <w:rFonts w:eastAsia="Times New Roman"/>
          <w:snapToGrid w:val="0"/>
          <w:szCs w:val="24"/>
          <w:lang w:val="en-US" w:eastAsia="en-US"/>
        </w:rPr>
        <w:t xml:space="preserve"> analysis under three different types of </w:t>
      </w:r>
      <w:r w:rsidRPr="00E05BFE">
        <w:rPr>
          <w:rFonts w:eastAsia="Times New Roman"/>
          <w:noProof/>
          <w:snapToGrid w:val="0"/>
          <w:szCs w:val="24"/>
          <w:lang w:val="en-US" w:eastAsia="en-US"/>
        </w:rPr>
        <w:t>the earthquake</w:t>
      </w:r>
      <w:r w:rsidRPr="00E05BFE">
        <w:rPr>
          <w:rFonts w:eastAsia="Times New Roman"/>
          <w:snapToGrid w:val="0"/>
          <w:szCs w:val="24"/>
          <w:lang w:val="en-US" w:eastAsia="en-US"/>
        </w:rPr>
        <w:t xml:space="preserve">, namely, the far field and the near field (with directivity and the fling step effects). The three identified performance points cover the elastic, the elastic-plastic and the plastic states of the frame. </w:t>
      </w:r>
      <w:r w:rsidRPr="00E05BFE">
        <w:rPr>
          <w:rFonts w:eastAsia="Times New Roman"/>
          <w:noProof/>
          <w:snapToGrid w:val="0"/>
          <w:szCs w:val="24"/>
          <w:lang w:val="en-US" w:eastAsia="en-US"/>
        </w:rPr>
        <w:t>A number of</w:t>
      </w:r>
      <w:r w:rsidRPr="00E05BFE">
        <w:rPr>
          <w:rFonts w:eastAsia="Times New Roman"/>
          <w:snapToGrid w:val="0"/>
          <w:szCs w:val="24"/>
          <w:lang w:val="en-US" w:eastAsia="en-US"/>
        </w:rPr>
        <w:t xml:space="preserve"> response parameters are considered to investigate the inelastic behavior and the energy dissipation characteristics of the </w:t>
      </w:r>
      <w:r w:rsidRPr="00E05BFE">
        <w:rPr>
          <w:rFonts w:eastAsia="Times New Roman"/>
          <w:noProof/>
          <w:snapToGrid w:val="0"/>
          <w:szCs w:val="24"/>
          <w:lang w:val="en-US" w:eastAsia="en-US"/>
        </w:rPr>
        <w:t>frame</w:t>
      </w:r>
      <w:r w:rsidRPr="00E05BFE">
        <w:rPr>
          <w:rFonts w:eastAsia="Times New Roman"/>
          <w:snapToGrid w:val="0"/>
          <w:szCs w:val="24"/>
          <w:lang w:val="en-US" w:eastAsia="en-US"/>
        </w:rPr>
        <w:t xml:space="preserve">. The responses of the </w:t>
      </w:r>
      <w:r w:rsidRPr="00E05BFE">
        <w:rPr>
          <w:rFonts w:eastAsia="Times New Roman"/>
          <w:noProof/>
          <w:snapToGrid w:val="0"/>
          <w:szCs w:val="24"/>
          <w:lang w:val="en-US" w:eastAsia="en-US"/>
        </w:rPr>
        <w:t>frame</w:t>
      </w:r>
      <w:r w:rsidRPr="00E05BFE">
        <w:rPr>
          <w:rFonts w:eastAsia="Times New Roman"/>
          <w:snapToGrid w:val="0"/>
          <w:szCs w:val="24"/>
          <w:lang w:val="en-US" w:eastAsia="en-US"/>
        </w:rPr>
        <w:t xml:space="preserve"> obtained from the </w:t>
      </w:r>
      <w:r w:rsidRPr="00E05BFE">
        <w:rPr>
          <w:rFonts w:eastAsia="Times New Roman"/>
          <w:noProof/>
          <w:snapToGrid w:val="0"/>
          <w:szCs w:val="24"/>
          <w:lang w:val="en-US" w:eastAsia="en-US"/>
        </w:rPr>
        <w:t>pushover</w:t>
      </w:r>
      <w:r w:rsidRPr="00E05BFE">
        <w:rPr>
          <w:rFonts w:eastAsia="Times New Roman"/>
          <w:snapToGrid w:val="0"/>
          <w:szCs w:val="24"/>
          <w:lang w:val="en-US" w:eastAsia="en-US"/>
        </w:rPr>
        <w:t xml:space="preserve"> analysis </w:t>
      </w:r>
      <w:r w:rsidRPr="00E05BFE">
        <w:rPr>
          <w:rFonts w:eastAsia="Times New Roman"/>
          <w:noProof/>
          <w:snapToGrid w:val="0"/>
          <w:szCs w:val="24"/>
          <w:lang w:val="en-US" w:eastAsia="en-US"/>
        </w:rPr>
        <w:t>are compared</w:t>
      </w:r>
      <w:r w:rsidRPr="00E05BFE">
        <w:rPr>
          <w:rFonts w:eastAsia="Times New Roman"/>
          <w:snapToGrid w:val="0"/>
          <w:szCs w:val="24"/>
          <w:lang w:val="en-US" w:eastAsia="en-US"/>
        </w:rPr>
        <w:t xml:space="preserve"> with those of the nonlinear time history analysis. A corresponding rigid jointed </w:t>
      </w:r>
      <w:r w:rsidRPr="00E05BFE">
        <w:rPr>
          <w:rFonts w:eastAsia="Times New Roman"/>
          <w:noProof/>
          <w:snapToGrid w:val="0"/>
          <w:szCs w:val="24"/>
          <w:lang w:val="en-US" w:eastAsia="en-US"/>
        </w:rPr>
        <w:t>frame</w:t>
      </w:r>
      <w:r w:rsidRPr="00E05BFE">
        <w:rPr>
          <w:rFonts w:eastAsia="Times New Roman"/>
          <w:snapToGrid w:val="0"/>
          <w:szCs w:val="24"/>
          <w:lang w:val="en-US" w:eastAsia="en-US"/>
        </w:rPr>
        <w:t xml:space="preserve"> is analyzed to typify the behavior of the semi-rigid jointed frame. The results of the numerical study lead to the following conclusions.</w:t>
      </w:r>
    </w:p>
    <w:p w:rsidR="00E05BFE" w:rsidRPr="00E05BFE" w:rsidRDefault="00E05BFE" w:rsidP="00E05BFE">
      <w:pPr>
        <w:widowControl w:val="0"/>
        <w:numPr>
          <w:ilvl w:val="0"/>
          <w:numId w:val="8"/>
        </w:numPr>
        <w:spacing w:after="0" w:line="240" w:lineRule="auto"/>
        <w:ind w:left="284" w:hanging="284"/>
        <w:jc w:val="both"/>
        <w:rPr>
          <w:rFonts w:eastAsia="Times New Roman"/>
          <w:snapToGrid w:val="0"/>
          <w:szCs w:val="20"/>
          <w:lang w:val="en-US" w:eastAsia="en-US"/>
        </w:rPr>
      </w:pPr>
      <w:r w:rsidRPr="00E05BFE">
        <w:rPr>
          <w:rFonts w:eastAsia="Times New Roman"/>
          <w:snapToGrid w:val="0"/>
          <w:szCs w:val="20"/>
          <w:lang w:val="en-US" w:eastAsia="en-US"/>
        </w:rPr>
        <w:t xml:space="preserve">The maximum base shear is considerably reduced in the semi-rigid frames as compared to the fully rigid </w:t>
      </w:r>
      <w:r w:rsidRPr="00E05BFE">
        <w:rPr>
          <w:rFonts w:eastAsia="Times New Roman"/>
          <w:noProof/>
          <w:snapToGrid w:val="0"/>
          <w:szCs w:val="20"/>
          <w:lang w:val="en-US" w:eastAsia="en-US"/>
        </w:rPr>
        <w:t>frames</w:t>
      </w:r>
      <w:r w:rsidRPr="00E05BFE">
        <w:rPr>
          <w:rFonts w:eastAsia="Times New Roman"/>
          <w:snapToGrid w:val="0"/>
          <w:szCs w:val="20"/>
          <w:lang w:val="en-US" w:eastAsia="en-US"/>
        </w:rPr>
        <w:t xml:space="preserve"> at the elastic performance point. The base shear values are more under the near-field earthquakes, especially for the NFF. A similar </w:t>
      </w:r>
      <w:r w:rsidRPr="00E05BFE">
        <w:rPr>
          <w:rFonts w:eastAsia="Times New Roman"/>
          <w:noProof/>
          <w:snapToGrid w:val="0"/>
          <w:szCs w:val="20"/>
          <w:lang w:val="en-US" w:eastAsia="en-US"/>
        </w:rPr>
        <w:t xml:space="preserve">trend is observed </w:t>
      </w:r>
      <w:r w:rsidRPr="00E05BFE">
        <w:rPr>
          <w:rFonts w:eastAsia="Times New Roman"/>
          <w:snapToGrid w:val="0"/>
          <w:szCs w:val="20"/>
          <w:lang w:val="en-US" w:eastAsia="en-US"/>
        </w:rPr>
        <w:t>at other performance points.</w:t>
      </w:r>
    </w:p>
    <w:p w:rsidR="00E05BFE" w:rsidRPr="00E05BFE" w:rsidRDefault="00E05BFE" w:rsidP="00E05BFE">
      <w:pPr>
        <w:widowControl w:val="0"/>
        <w:numPr>
          <w:ilvl w:val="0"/>
          <w:numId w:val="8"/>
        </w:numPr>
        <w:spacing w:after="0" w:line="240" w:lineRule="auto"/>
        <w:ind w:left="284" w:hanging="284"/>
        <w:jc w:val="both"/>
        <w:rPr>
          <w:rFonts w:eastAsia="Times New Roman"/>
          <w:snapToGrid w:val="0"/>
          <w:szCs w:val="20"/>
          <w:lang w:val="en-US" w:eastAsia="en-US"/>
        </w:rPr>
      </w:pPr>
      <w:r w:rsidRPr="00E05BFE">
        <w:rPr>
          <w:rFonts w:eastAsia="Times New Roman"/>
          <w:snapToGrid w:val="0"/>
          <w:szCs w:val="20"/>
          <w:lang w:val="en-US" w:eastAsia="en-US"/>
        </w:rPr>
        <w:t xml:space="preserve">The maximum top floor displacement increases with the increase in the degree of semi-rigidity; the </w:t>
      </w:r>
      <w:r w:rsidRPr="00E05BFE">
        <w:rPr>
          <w:rFonts w:eastAsia="Times New Roman"/>
          <w:noProof/>
          <w:snapToGrid w:val="0"/>
          <w:szCs w:val="20"/>
          <w:lang w:val="en-US" w:eastAsia="en-US"/>
        </w:rPr>
        <w:t>displacements</w:t>
      </w:r>
      <w:r w:rsidRPr="00E05BFE">
        <w:rPr>
          <w:rFonts w:eastAsia="Times New Roman"/>
          <w:snapToGrid w:val="0"/>
          <w:szCs w:val="20"/>
          <w:lang w:val="en-US" w:eastAsia="en-US"/>
        </w:rPr>
        <w:t xml:space="preserve"> are more for the near field earthquakes.</w:t>
      </w:r>
    </w:p>
    <w:p w:rsidR="00E05BFE" w:rsidRPr="00E05BFE" w:rsidRDefault="00E05BFE" w:rsidP="00E05BFE">
      <w:pPr>
        <w:widowControl w:val="0"/>
        <w:numPr>
          <w:ilvl w:val="0"/>
          <w:numId w:val="8"/>
        </w:numPr>
        <w:spacing w:after="0" w:line="240" w:lineRule="auto"/>
        <w:ind w:left="284" w:hanging="284"/>
        <w:jc w:val="both"/>
        <w:rPr>
          <w:rFonts w:eastAsia="Times New Roman"/>
          <w:snapToGrid w:val="0"/>
          <w:szCs w:val="20"/>
          <w:lang w:val="en-US" w:eastAsia="en-US"/>
        </w:rPr>
      </w:pPr>
      <w:r w:rsidRPr="00E05BFE">
        <w:rPr>
          <w:rFonts w:eastAsia="Times New Roman"/>
          <w:snapToGrid w:val="0"/>
          <w:szCs w:val="20"/>
          <w:lang w:val="en-US" w:eastAsia="en-US"/>
        </w:rPr>
        <w:t>The percentage differences in the maximum base shear and the maximum top floor displacement between the NTHA and the POA are maximum under the far-field earthquake; they decrease with the increase in the PGA levels.</w:t>
      </w:r>
    </w:p>
    <w:p w:rsidR="00E05BFE" w:rsidRPr="00E05BFE" w:rsidRDefault="00E05BFE" w:rsidP="00E05BFE">
      <w:pPr>
        <w:widowControl w:val="0"/>
        <w:numPr>
          <w:ilvl w:val="0"/>
          <w:numId w:val="8"/>
        </w:numPr>
        <w:spacing w:after="0" w:line="240" w:lineRule="auto"/>
        <w:ind w:left="284" w:hanging="284"/>
        <w:jc w:val="both"/>
        <w:rPr>
          <w:rFonts w:eastAsia="Times New Roman"/>
          <w:snapToGrid w:val="0"/>
          <w:szCs w:val="20"/>
          <w:lang w:val="en-US" w:eastAsia="en-US"/>
        </w:rPr>
      </w:pPr>
      <w:r w:rsidRPr="00E05BFE">
        <w:rPr>
          <w:rFonts w:eastAsia="Times New Roman"/>
          <w:snapToGrid w:val="0"/>
          <w:szCs w:val="20"/>
          <w:lang w:val="en-US" w:eastAsia="en-US"/>
        </w:rPr>
        <w:t>The maximum inter-story drift ratio along the height of the frame occurs in the third story, irrespective of the type of earthquake. The difference in the maximum inter-story drifts obtained from the POA and the NTHA decreases with the degree of semi-rigidity.</w:t>
      </w:r>
    </w:p>
    <w:p w:rsidR="00E05BFE" w:rsidRPr="00E05BFE" w:rsidRDefault="00E05BFE" w:rsidP="00E05BFE">
      <w:pPr>
        <w:widowControl w:val="0"/>
        <w:numPr>
          <w:ilvl w:val="0"/>
          <w:numId w:val="8"/>
        </w:numPr>
        <w:spacing w:after="0" w:line="240" w:lineRule="auto"/>
        <w:ind w:left="284" w:hanging="284"/>
        <w:jc w:val="both"/>
        <w:rPr>
          <w:rFonts w:eastAsia="Times New Roman"/>
          <w:snapToGrid w:val="0"/>
          <w:szCs w:val="20"/>
          <w:lang w:val="en-US" w:eastAsia="en-US"/>
        </w:rPr>
      </w:pPr>
      <w:r w:rsidRPr="00E05BFE">
        <w:rPr>
          <w:rFonts w:eastAsia="Times New Roman"/>
          <w:snapToGrid w:val="0"/>
          <w:szCs w:val="20"/>
          <w:lang w:val="en-US" w:eastAsia="en-US"/>
        </w:rPr>
        <w:t xml:space="preserve">The plastic hinges are not formed at a PGA level of 0.3g corresponding to the elastic state in the SR frames. In general, the number of plastic </w:t>
      </w:r>
      <w:r w:rsidRPr="00E05BFE">
        <w:rPr>
          <w:rFonts w:eastAsia="Times New Roman"/>
          <w:noProof/>
          <w:snapToGrid w:val="0"/>
          <w:szCs w:val="20"/>
          <w:lang w:val="en-US" w:eastAsia="en-US"/>
        </w:rPr>
        <w:t xml:space="preserve">hinges </w:t>
      </w:r>
      <w:r w:rsidRPr="00E05BFE">
        <w:rPr>
          <w:rFonts w:eastAsia="Times New Roman"/>
          <w:snapToGrid w:val="0"/>
          <w:szCs w:val="20"/>
          <w:lang w:val="en-US" w:eastAsia="en-US"/>
        </w:rPr>
        <w:t xml:space="preserve">is less in the semi-rigid frames as compared to the rigid </w:t>
      </w:r>
      <w:r w:rsidRPr="00E05BFE">
        <w:rPr>
          <w:rFonts w:eastAsia="Times New Roman"/>
          <w:noProof/>
          <w:snapToGrid w:val="0"/>
          <w:szCs w:val="20"/>
          <w:lang w:val="en-US" w:eastAsia="en-US"/>
        </w:rPr>
        <w:t>frames</w:t>
      </w:r>
      <w:r w:rsidRPr="00E05BFE">
        <w:rPr>
          <w:rFonts w:eastAsia="Times New Roman"/>
          <w:snapToGrid w:val="0"/>
          <w:szCs w:val="20"/>
          <w:lang w:val="en-US" w:eastAsia="en-US"/>
        </w:rPr>
        <w:t xml:space="preserve">; the number of </w:t>
      </w:r>
      <w:r w:rsidRPr="00E05BFE">
        <w:rPr>
          <w:rFonts w:eastAsia="Times New Roman"/>
          <w:noProof/>
          <w:snapToGrid w:val="0"/>
          <w:szCs w:val="20"/>
          <w:lang w:val="en-US" w:eastAsia="en-US"/>
        </w:rPr>
        <w:t>hinges</w:t>
      </w:r>
      <w:r w:rsidRPr="00E05BFE">
        <w:rPr>
          <w:rFonts w:eastAsia="Times New Roman"/>
          <w:snapToGrid w:val="0"/>
          <w:szCs w:val="20"/>
          <w:lang w:val="en-US" w:eastAsia="en-US"/>
        </w:rPr>
        <w:t xml:space="preserve"> is more for the near field earthquakes.</w:t>
      </w:r>
    </w:p>
    <w:p w:rsidR="00E05BFE" w:rsidRPr="00E05BFE" w:rsidRDefault="00E05BFE" w:rsidP="00E05BFE">
      <w:pPr>
        <w:widowControl w:val="0"/>
        <w:numPr>
          <w:ilvl w:val="0"/>
          <w:numId w:val="8"/>
        </w:numPr>
        <w:spacing w:after="0" w:line="240" w:lineRule="auto"/>
        <w:ind w:left="284" w:hanging="284"/>
        <w:jc w:val="both"/>
        <w:rPr>
          <w:rFonts w:eastAsia="Times New Roman"/>
          <w:snapToGrid w:val="0"/>
          <w:szCs w:val="20"/>
          <w:lang w:val="en-US" w:eastAsia="en-US"/>
        </w:rPr>
      </w:pPr>
      <w:r w:rsidRPr="00E05BFE">
        <w:rPr>
          <w:rFonts w:eastAsia="Times New Roman"/>
          <w:snapToGrid w:val="0"/>
          <w:szCs w:val="20"/>
          <w:lang w:val="en-US" w:eastAsia="en-US"/>
        </w:rPr>
        <w:t>The difference in the SRSS of maximum plastic hinge rotations between the POA and the NTHA is maximum for the far-field earthquakes.</w:t>
      </w:r>
    </w:p>
    <w:p w:rsidR="00E05BFE" w:rsidRPr="00E05BFE" w:rsidRDefault="00E05BFE" w:rsidP="00E05BFE">
      <w:pPr>
        <w:widowControl w:val="0"/>
        <w:numPr>
          <w:ilvl w:val="0"/>
          <w:numId w:val="8"/>
        </w:numPr>
        <w:spacing w:after="0" w:line="240" w:lineRule="auto"/>
        <w:ind w:left="284" w:hanging="284"/>
        <w:jc w:val="both"/>
        <w:rPr>
          <w:rFonts w:eastAsia="Times New Roman"/>
          <w:snapToGrid w:val="0"/>
          <w:szCs w:val="20"/>
          <w:lang w:val="en-US" w:eastAsia="en-US"/>
        </w:rPr>
      </w:pPr>
      <w:r w:rsidRPr="00E05BFE">
        <w:rPr>
          <w:rFonts w:eastAsia="Times New Roman"/>
          <w:snapToGrid w:val="0"/>
          <w:szCs w:val="20"/>
          <w:lang w:val="en-US" w:eastAsia="en-US"/>
        </w:rPr>
        <w:t xml:space="preserve">The energy dissipation in the rigid frame is mainly in the form of plastic hinges (modal damping energy), whereas the energy dissipation in the semi-rigid </w:t>
      </w:r>
      <w:r w:rsidRPr="00E05BFE">
        <w:rPr>
          <w:rFonts w:eastAsia="Times New Roman"/>
          <w:noProof/>
          <w:snapToGrid w:val="0"/>
          <w:szCs w:val="20"/>
          <w:lang w:val="en-US" w:eastAsia="en-US"/>
        </w:rPr>
        <w:t>frame</w:t>
      </w:r>
      <w:r w:rsidRPr="00E05BFE">
        <w:rPr>
          <w:rFonts w:eastAsia="Times New Roman"/>
          <w:snapToGrid w:val="0"/>
          <w:szCs w:val="20"/>
          <w:lang w:val="en-US" w:eastAsia="en-US"/>
        </w:rPr>
        <w:t xml:space="preserve"> is due to both </w:t>
      </w:r>
      <w:r w:rsidRPr="00E05BFE">
        <w:rPr>
          <w:rFonts w:eastAsia="Times New Roman"/>
          <w:noProof/>
          <w:snapToGrid w:val="0"/>
          <w:szCs w:val="20"/>
          <w:lang w:val="en-US" w:eastAsia="en-US"/>
        </w:rPr>
        <w:t>plastic</w:t>
      </w:r>
      <w:r w:rsidRPr="00E05BFE">
        <w:rPr>
          <w:rFonts w:eastAsia="Times New Roman"/>
          <w:snapToGrid w:val="0"/>
          <w:szCs w:val="20"/>
          <w:lang w:val="en-US" w:eastAsia="en-US"/>
        </w:rPr>
        <w:t xml:space="preserve"> hinge formation and the link hysteresis (in connection); the link hysteretic </w:t>
      </w:r>
      <w:r w:rsidRPr="00E05BFE">
        <w:rPr>
          <w:rFonts w:eastAsia="Times New Roman"/>
          <w:noProof/>
          <w:snapToGrid w:val="0"/>
          <w:szCs w:val="20"/>
          <w:lang w:val="en-US" w:eastAsia="en-US"/>
        </w:rPr>
        <w:t>energy increases</w:t>
      </w:r>
      <w:r w:rsidRPr="00E05BFE">
        <w:rPr>
          <w:rFonts w:eastAsia="Times New Roman"/>
          <w:snapToGrid w:val="0"/>
          <w:szCs w:val="20"/>
          <w:lang w:val="en-US" w:eastAsia="en-US"/>
        </w:rPr>
        <w:t xml:space="preserve"> with the increase in the degree of </w:t>
      </w:r>
      <w:r w:rsidRPr="00E05BFE">
        <w:rPr>
          <w:rFonts w:eastAsia="Times New Roman"/>
          <w:noProof/>
          <w:snapToGrid w:val="0"/>
          <w:szCs w:val="20"/>
          <w:lang w:val="en-US" w:eastAsia="en-US"/>
        </w:rPr>
        <w:t>semi-rigidity</w:t>
      </w:r>
      <w:r w:rsidRPr="00E05BFE">
        <w:rPr>
          <w:rFonts w:eastAsia="Times New Roman"/>
          <w:snapToGrid w:val="0"/>
          <w:szCs w:val="20"/>
          <w:lang w:val="en-US" w:eastAsia="en-US"/>
        </w:rPr>
        <w:t>.</w:t>
      </w:r>
    </w:p>
    <w:p w:rsidR="00E05BFE" w:rsidRPr="00E05BFE" w:rsidRDefault="00E05BFE" w:rsidP="00E05BFE">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E05BFE" w:rsidRPr="00E05BFE" w:rsidRDefault="00E05BFE" w:rsidP="00E05BFE">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E05BFE" w:rsidRPr="00E05BFE" w:rsidRDefault="00E05BFE" w:rsidP="00E05BFE">
      <w:pPr>
        <w:keepNext/>
        <w:widowControl w:val="0"/>
        <w:suppressAutoHyphens/>
        <w:spacing w:after="0" w:line="240" w:lineRule="auto"/>
        <w:ind w:left="270" w:hanging="270"/>
        <w:jc w:val="both"/>
        <w:outlineLvl w:val="0"/>
        <w:rPr>
          <w:rFonts w:eastAsia="Times New Roman"/>
          <w:b/>
          <w:caps/>
          <w:snapToGrid w:val="0"/>
          <w:szCs w:val="24"/>
          <w:lang w:val="en-US" w:eastAsia="en-US"/>
        </w:rPr>
      </w:pPr>
      <w:r w:rsidRPr="00E05BFE">
        <w:rPr>
          <w:rFonts w:eastAsia="Times New Roman"/>
          <w:b/>
          <w:caps/>
          <w:snapToGrid w:val="0"/>
          <w:szCs w:val="24"/>
          <w:lang w:val="en-US" w:eastAsia="en-US"/>
        </w:rPr>
        <w:t>6. References</w:t>
      </w:r>
    </w:p>
    <w:p w:rsidR="00E05BFE" w:rsidRPr="00E05BFE" w:rsidRDefault="00E05BFE" w:rsidP="00E05BFE">
      <w:pPr>
        <w:widowControl w:val="0"/>
        <w:spacing w:after="0" w:line="240" w:lineRule="auto"/>
        <w:jc w:val="both"/>
        <w:rPr>
          <w:rFonts w:eastAsia="Times New Roman"/>
          <w:snapToGrid w:val="0"/>
          <w:szCs w:val="24"/>
          <w:lang w:val="en-US" w:eastAsia="en-US"/>
        </w:rPr>
      </w:pP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ANSI/AISC 360-16 (2016) Specification for Structural Steel Buildings American Institute of Steel Construction Inc.</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ATC-40 (1996). -Seismic evaluation and retrofit of concrete buildings."  Rep. No. SSC 96-01: Applied Technology Council Redwood City, California.</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Awkar, J. and E. Lui (1999). Seismic analysis and response of multistory semirigid frames. Engineering Structures 21(5): 425-441.</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Bayat, M. and S. M. Zahrai (2017). Seismic performance of mid-rise steel frames with semi-rigid connections having different moment capacity. Steel and Composite Structures 25(1): 1-17.</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Chan, S.-L. and P.-T. Chui (2000). Non-linear static and cyclic analysis of steel frames with semi-rigid connections, Elsevier.</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Díaz, C., P. Martí, M. Victoria and O. M. Querin (2011). Review on the modelling of joint behaviour in steel frames. Journal of constructional steel research 67(5): 741-758.</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Elnashai, A. and A. Elghazouli (1994). Seismic behaviour of semi-rigid steel frames. Journal of Constructional Steel Research 29(1-3): 149-174.</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Eurocode (2005). "Eurocode 3: Design of Steel Structures (Part 1-8: Design of Joints)  European Committee for Standardization, B-1050 Brussels.</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Fajfar, P. (1999). Capacity spectrum method based on inelastic demand spectra. Earthquake Engineering &amp; Structural Dynamics 28(9): 979-993.</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Feizi, M. G., A. Mojtahedi and V. Nourani (2015). Effect of semi-rigid connections in improvement of seismic performance of steel moment-resisting frames. Steel and Composite Structures 19(2): 467-484.</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Freeman, S. A. (1978). Prediction of response of concrete buildings to severe earthquake motion. Special Publication 55: 589-606.</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IS-800 (2007): General Construction in Steel-Code of Practice  3rd Revision Bureau of Indian Standards, New Delhi.</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IS 1893 (2016) Criteria for earthquake resistant design of structures. Part 1 General Provisions and Buildings (Sixth Revision) Bureau of Indian Standards, New Delhi.</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Kalkan, E. and S. K. Kunnath (2007). Assessment of current nonlinear static procedures for seismic evaluation of buildings. Engineering Structures 29(3): 305-316.</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Kunnath, S. K. and E. Kalkan (2004). Evaluation of seismic deformation demands using nonlinear procedures in multistory steel and concrete moment frames. ISET Journal of Earthquake Technology 41(1): 159-181.</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Nader, M. and A. Astaneh (1991). Dynamic behavior of flexible, semirigid and rigid steel frames. Journal of Constructional Steel Research 18(3): 179-192.</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SAP2000 (2017). SAP 2000 v19: Integrated software for structural analysis and design. Computers and Structures, Inc., Berkeley, California.</w:t>
      </w:r>
    </w:p>
    <w:p w:rsidR="00E05BFE" w:rsidRPr="00E05BFE" w:rsidRDefault="00E05BFE" w:rsidP="00E05BFE">
      <w:pPr>
        <w:widowControl w:val="0"/>
        <w:spacing w:after="120" w:line="240" w:lineRule="auto"/>
        <w:jc w:val="both"/>
        <w:rPr>
          <w:rFonts w:eastAsia="Calibri"/>
          <w:snapToGrid w:val="0"/>
          <w:color w:val="000000"/>
          <w:sz w:val="20"/>
          <w:szCs w:val="20"/>
          <w:lang w:val="en-US" w:eastAsia="en-US" w:bidi="en-US"/>
        </w:rPr>
      </w:pPr>
      <w:r w:rsidRPr="00E05BFE">
        <w:rPr>
          <w:rFonts w:eastAsia="Calibri"/>
          <w:snapToGrid w:val="0"/>
          <w:color w:val="000000"/>
          <w:sz w:val="20"/>
          <w:szCs w:val="20"/>
          <w:lang w:val="en-US" w:eastAsia="en-US" w:bidi="en-US"/>
        </w:rPr>
        <w:t>Sekulovic, M. and M. Nefovska-Danilovic (2008). Contribution to transient analysis of inelastic steel frames with semi-rigid connections. Engineering Structures 30(4): 976-989.</w:t>
      </w:r>
    </w:p>
    <w:p w:rsidR="006B3BBD" w:rsidRPr="0013217D" w:rsidRDefault="006B3BBD" w:rsidP="0013217D">
      <w:pPr>
        <w:spacing w:line="240" w:lineRule="auto"/>
        <w:jc w:val="both"/>
      </w:pPr>
    </w:p>
    <w:sectPr w:rsidR="006B3BBD" w:rsidRPr="0013217D" w:rsidSect="00E05BFE">
      <w:headerReference w:type="default" r:id="rId15"/>
      <w:footerReference w:type="default" r:id="rId16"/>
      <w:headerReference w:type="first" r:id="rId17"/>
      <w:footerReference w:type="first" r:id="rId18"/>
      <w:pgSz w:w="11906" w:h="16838"/>
      <w:pgMar w:top="1418" w:right="1134" w:bottom="1418" w:left="1134" w:header="709" w:footer="709" w:gutter="0"/>
      <w:pgNumType w:start="69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549" w:rsidRDefault="000B1549" w:rsidP="0013217D">
      <w:pPr>
        <w:spacing w:after="0" w:line="240" w:lineRule="auto"/>
      </w:pPr>
      <w:r>
        <w:separator/>
      </w:r>
    </w:p>
  </w:endnote>
  <w:endnote w:type="continuationSeparator" w:id="0">
    <w:p w:rsidR="000B1549" w:rsidRDefault="000B1549"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471976"/>
      <w:docPartObj>
        <w:docPartGallery w:val="Page Numbers (Bottom of Page)"/>
        <w:docPartUnique/>
      </w:docPartObj>
    </w:sdtPr>
    <w:sdtEndPr/>
    <w:sdtContent>
      <w:p w:rsidR="00E05BFE" w:rsidRDefault="00E05BFE">
        <w:pPr>
          <w:pStyle w:val="a5"/>
          <w:jc w:val="center"/>
        </w:pPr>
        <w:r>
          <w:fldChar w:fldCharType="begin"/>
        </w:r>
        <w:r>
          <w:instrText>PAGE   \* MERGEFORMAT</w:instrText>
        </w:r>
        <w:r>
          <w:fldChar w:fldCharType="separate"/>
        </w:r>
        <w:r w:rsidR="00270391">
          <w:rPr>
            <w:noProof/>
          </w:rPr>
          <w:t>701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83045"/>
      <w:docPartObj>
        <w:docPartGallery w:val="Page Numbers (Bottom of Page)"/>
        <w:docPartUnique/>
      </w:docPartObj>
    </w:sdtPr>
    <w:sdtEndPr/>
    <w:sdtContent>
      <w:p w:rsidR="00E05BFE" w:rsidRDefault="00E05BFE">
        <w:pPr>
          <w:pStyle w:val="a5"/>
          <w:jc w:val="center"/>
        </w:pPr>
        <w:r>
          <w:fldChar w:fldCharType="begin"/>
        </w:r>
        <w:r>
          <w:instrText>PAGE   \* MERGEFORMAT</w:instrText>
        </w:r>
        <w:r>
          <w:fldChar w:fldCharType="separate"/>
        </w:r>
        <w:r w:rsidR="00270391">
          <w:rPr>
            <w:noProof/>
          </w:rPr>
          <w:t>694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549" w:rsidRDefault="000B1549" w:rsidP="0013217D">
      <w:pPr>
        <w:spacing w:after="0" w:line="240" w:lineRule="auto"/>
      </w:pPr>
      <w:r>
        <w:separator/>
      </w:r>
    </w:p>
  </w:footnote>
  <w:footnote w:type="continuationSeparator" w:id="0">
    <w:p w:rsidR="000B1549" w:rsidRDefault="000B1549" w:rsidP="0013217D">
      <w:pPr>
        <w:spacing w:after="0" w:line="240" w:lineRule="auto"/>
      </w:pPr>
      <w:r>
        <w:continuationSeparator/>
      </w:r>
    </w:p>
  </w:footnote>
  <w:footnote w:id="1">
    <w:p w:rsidR="00E05BFE" w:rsidRPr="00A70A0D" w:rsidRDefault="00E05BFE" w:rsidP="00E05BFE">
      <w:pPr>
        <w:pStyle w:val="ab"/>
      </w:pPr>
      <w:r>
        <w:rPr>
          <w:rStyle w:val="ad"/>
        </w:rPr>
        <w:footnoteRef/>
      </w:r>
      <w:r>
        <w:t>Research Scholar, Malaviya National Institute Of Technology</w:t>
      </w:r>
      <w:r w:rsidRPr="008B344F">
        <w:t xml:space="preserve">, </w:t>
      </w:r>
      <w:r>
        <w:t>Jaipur</w:t>
      </w:r>
      <w:r w:rsidRPr="008B344F">
        <w:t xml:space="preserve">, </w:t>
      </w:r>
      <w:r>
        <w:t xml:space="preserve">INDIA, </w:t>
      </w:r>
      <w:hyperlink r:id="rId1" w:history="1">
        <w:r w:rsidRPr="00F35783">
          <w:rPr>
            <w:rStyle w:val="12"/>
          </w:rPr>
          <w:t>vrsgec2011@gmail.com</w:t>
        </w:r>
      </w:hyperlink>
      <w:r>
        <w:t xml:space="preserve"> </w:t>
      </w:r>
    </w:p>
  </w:footnote>
  <w:footnote w:id="2">
    <w:p w:rsidR="00E05BFE" w:rsidRPr="00A70A0D" w:rsidRDefault="00E05BFE" w:rsidP="00E05BFE">
      <w:pPr>
        <w:pStyle w:val="ab"/>
      </w:pPr>
      <w:r>
        <w:rPr>
          <w:rStyle w:val="ad"/>
        </w:rPr>
        <w:footnoteRef/>
      </w:r>
      <w:r>
        <w:t>Research Scholar</w:t>
      </w:r>
      <w:r w:rsidRPr="008B344F">
        <w:t xml:space="preserve">, </w:t>
      </w:r>
      <w:r>
        <w:t>National Center for Disaster Mitigation and Management</w:t>
      </w:r>
      <w:r w:rsidRPr="008B344F">
        <w:t xml:space="preserve">, </w:t>
      </w:r>
      <w:r>
        <w:t>Malaviya National Institute Of Technology</w:t>
      </w:r>
      <w:r w:rsidRPr="008B344F">
        <w:t xml:space="preserve">, </w:t>
      </w:r>
      <w:r>
        <w:t>Jaipur</w:t>
      </w:r>
      <w:r w:rsidRPr="008B344F">
        <w:t xml:space="preserve">, </w:t>
      </w:r>
      <w:r>
        <w:t xml:space="preserve">INDIA, </w:t>
      </w:r>
      <w:hyperlink r:id="rId2" w:history="1">
        <w:r w:rsidRPr="00F35783">
          <w:rPr>
            <w:rStyle w:val="12"/>
          </w:rPr>
          <w:t>sourabh.vern@gmail.com</w:t>
        </w:r>
      </w:hyperlink>
      <w:r>
        <w:t xml:space="preserve"> </w:t>
      </w:r>
    </w:p>
  </w:footnote>
  <w:footnote w:id="3">
    <w:p w:rsidR="00E05BFE" w:rsidRPr="00A70A0D" w:rsidRDefault="00E05BFE" w:rsidP="00E05BFE">
      <w:pPr>
        <w:pStyle w:val="ab"/>
      </w:pPr>
      <w:r>
        <w:rPr>
          <w:rStyle w:val="ad"/>
        </w:rPr>
        <w:footnoteRef/>
      </w:r>
      <w:r>
        <w:t>Professor</w:t>
      </w:r>
      <w:r w:rsidRPr="008B344F">
        <w:t xml:space="preserve">, </w:t>
      </w:r>
      <w:r>
        <w:t>National Center for Disaster Mitigation and Management</w:t>
      </w:r>
      <w:r w:rsidRPr="008B344F">
        <w:t xml:space="preserve">, </w:t>
      </w:r>
      <w:r>
        <w:t>Malaviya National Institute Of Technology</w:t>
      </w:r>
      <w:r w:rsidRPr="008B344F">
        <w:t xml:space="preserve">, </w:t>
      </w:r>
      <w:r>
        <w:t>Jaipur</w:t>
      </w:r>
      <w:r w:rsidRPr="008B344F">
        <w:t xml:space="preserve">, </w:t>
      </w:r>
      <w:r>
        <w:t xml:space="preserve">INDIA, </w:t>
      </w:r>
      <w:hyperlink r:id="rId3" w:history="1">
        <w:r w:rsidRPr="00F35783">
          <w:rPr>
            <w:rStyle w:val="12"/>
          </w:rPr>
          <w:t>shrimali</w:t>
        </w:r>
      </w:hyperlink>
      <w:r w:rsidRPr="00F35783">
        <w:rPr>
          <w:rStyle w:val="12"/>
        </w:rPr>
        <w:t>mk@gmail.com</w:t>
      </w:r>
    </w:p>
  </w:footnote>
  <w:footnote w:id="4">
    <w:p w:rsidR="00E05BFE" w:rsidRPr="00E25F42" w:rsidRDefault="00E05BFE" w:rsidP="00E05BFE">
      <w:pPr>
        <w:pStyle w:val="ab"/>
        <w:tabs>
          <w:tab w:val="left" w:pos="8640"/>
        </w:tabs>
      </w:pPr>
      <w:r>
        <w:rPr>
          <w:rStyle w:val="ad"/>
        </w:rPr>
        <w:footnoteRef/>
      </w:r>
      <w:r>
        <w:t>Professor</w:t>
      </w:r>
      <w:r w:rsidRPr="008B344F">
        <w:t xml:space="preserve">, </w:t>
      </w:r>
      <w:r>
        <w:t>National Center for Disaster Mitigation and Management</w:t>
      </w:r>
      <w:r w:rsidRPr="008B344F">
        <w:t xml:space="preserve">, </w:t>
      </w:r>
      <w:r>
        <w:t>Malaviya National Institute Of Technology</w:t>
      </w:r>
      <w:r w:rsidRPr="008B344F">
        <w:t xml:space="preserve">, </w:t>
      </w:r>
      <w:r>
        <w:t>Jaipur</w:t>
      </w:r>
      <w:r w:rsidRPr="008B344F">
        <w:t xml:space="preserve">, </w:t>
      </w:r>
      <w:r>
        <w:t xml:space="preserve">INDIA, </w:t>
      </w:r>
      <w:hyperlink r:id="rId4" w:history="1">
        <w:r w:rsidRPr="00F35783">
          <w:rPr>
            <w:rStyle w:val="12"/>
          </w:rPr>
          <w:t>sdbharti@gmail.com</w:t>
        </w:r>
      </w:hyperlink>
    </w:p>
  </w:footnote>
  <w:footnote w:id="5">
    <w:p w:rsidR="00E05BFE" w:rsidRDefault="00E05BFE" w:rsidP="00E05BFE">
      <w:pPr>
        <w:pStyle w:val="ab"/>
      </w:pPr>
      <w:r>
        <w:rPr>
          <w:rStyle w:val="ad"/>
        </w:rPr>
        <w:footnoteRef/>
      </w:r>
      <w:r>
        <w:t xml:space="preserve"> Adjunct Professor</w:t>
      </w:r>
      <w:r w:rsidRPr="008B344F">
        <w:t xml:space="preserve">, </w:t>
      </w:r>
      <w:r>
        <w:t>National Center for Disaster Mitigation and Management</w:t>
      </w:r>
      <w:r w:rsidRPr="008B344F">
        <w:t xml:space="preserve">, </w:t>
      </w:r>
      <w:r>
        <w:t>Malaviya National Institute Of Technology</w:t>
      </w:r>
      <w:r w:rsidRPr="008B344F">
        <w:t xml:space="preserve">, </w:t>
      </w:r>
      <w:r>
        <w:t>Jaipur</w:t>
      </w:r>
      <w:r w:rsidRPr="008B344F">
        <w:t xml:space="preserve">, </w:t>
      </w:r>
      <w:r>
        <w:t xml:space="preserve">INDIA, </w:t>
      </w:r>
      <w:hyperlink r:id="rId5" w:history="1">
        <w:r w:rsidRPr="00F35783">
          <w:rPr>
            <w:rStyle w:val="12"/>
          </w:rPr>
          <w:t>tushar_k_datta@yahoo.com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176ECF77" wp14:editId="1119CCF1">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6D7"/>
    <w:multiLevelType w:val="hybridMultilevel"/>
    <w:tmpl w:val="49081966"/>
    <w:lvl w:ilvl="0" w:tplc="711A5FBC">
      <w:start w:val="1"/>
      <w:numFmt w:val="lowerLetter"/>
      <w:lvlText w:val="(%1)"/>
      <w:lvlJc w:val="left"/>
      <w:pPr>
        <w:ind w:left="4245" w:hanging="1005"/>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
    <w:nsid w:val="0A5D4E0D"/>
    <w:multiLevelType w:val="hybridMultilevel"/>
    <w:tmpl w:val="DB82A3D8"/>
    <w:lvl w:ilvl="0" w:tplc="22266370">
      <w:start w:val="1"/>
      <w:numFmt w:val="lowerLetter"/>
      <w:lvlText w:val="(%1)"/>
      <w:lvlJc w:val="left"/>
      <w:pPr>
        <w:ind w:left="1890" w:hanging="360"/>
      </w:pPr>
      <w:rPr>
        <w:rFonts w:ascii="Times New Roman" w:hAnsi="Times New Roman" w:cs="Times New Roman" w:hint="default"/>
      </w:rPr>
    </w:lvl>
    <w:lvl w:ilvl="1" w:tplc="40090019" w:tentative="1">
      <w:start w:val="1"/>
      <w:numFmt w:val="lowerLetter"/>
      <w:lvlText w:val="%2."/>
      <w:lvlJc w:val="left"/>
      <w:pPr>
        <w:ind w:left="2610" w:hanging="360"/>
      </w:pPr>
    </w:lvl>
    <w:lvl w:ilvl="2" w:tplc="4009001B" w:tentative="1">
      <w:start w:val="1"/>
      <w:numFmt w:val="lowerRoman"/>
      <w:lvlText w:val="%3."/>
      <w:lvlJc w:val="right"/>
      <w:pPr>
        <w:ind w:left="3330" w:hanging="180"/>
      </w:pPr>
    </w:lvl>
    <w:lvl w:ilvl="3" w:tplc="4009000F" w:tentative="1">
      <w:start w:val="1"/>
      <w:numFmt w:val="decimal"/>
      <w:lvlText w:val="%4."/>
      <w:lvlJc w:val="left"/>
      <w:pPr>
        <w:ind w:left="4050" w:hanging="360"/>
      </w:pPr>
    </w:lvl>
    <w:lvl w:ilvl="4" w:tplc="40090019" w:tentative="1">
      <w:start w:val="1"/>
      <w:numFmt w:val="lowerLetter"/>
      <w:lvlText w:val="%5."/>
      <w:lvlJc w:val="left"/>
      <w:pPr>
        <w:ind w:left="4770" w:hanging="360"/>
      </w:pPr>
    </w:lvl>
    <w:lvl w:ilvl="5" w:tplc="4009001B" w:tentative="1">
      <w:start w:val="1"/>
      <w:numFmt w:val="lowerRoman"/>
      <w:lvlText w:val="%6."/>
      <w:lvlJc w:val="right"/>
      <w:pPr>
        <w:ind w:left="5490" w:hanging="180"/>
      </w:pPr>
    </w:lvl>
    <w:lvl w:ilvl="6" w:tplc="4009000F" w:tentative="1">
      <w:start w:val="1"/>
      <w:numFmt w:val="decimal"/>
      <w:lvlText w:val="%7."/>
      <w:lvlJc w:val="left"/>
      <w:pPr>
        <w:ind w:left="6210" w:hanging="360"/>
      </w:pPr>
    </w:lvl>
    <w:lvl w:ilvl="7" w:tplc="40090019" w:tentative="1">
      <w:start w:val="1"/>
      <w:numFmt w:val="lowerLetter"/>
      <w:lvlText w:val="%8."/>
      <w:lvlJc w:val="left"/>
      <w:pPr>
        <w:ind w:left="6930" w:hanging="360"/>
      </w:pPr>
    </w:lvl>
    <w:lvl w:ilvl="8" w:tplc="4009001B" w:tentative="1">
      <w:start w:val="1"/>
      <w:numFmt w:val="lowerRoman"/>
      <w:lvlText w:val="%9."/>
      <w:lvlJc w:val="right"/>
      <w:pPr>
        <w:ind w:left="7650" w:hanging="180"/>
      </w:pPr>
    </w:lvl>
  </w:abstractNum>
  <w:abstractNum w:abstractNumId="2">
    <w:nsid w:val="0CE43934"/>
    <w:multiLevelType w:val="hybridMultilevel"/>
    <w:tmpl w:val="5740C9BA"/>
    <w:lvl w:ilvl="0" w:tplc="D90A14C6">
      <w:start w:val="1"/>
      <w:numFmt w:val="lowerLetter"/>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3">
    <w:nsid w:val="0E8951CE"/>
    <w:multiLevelType w:val="hybridMultilevel"/>
    <w:tmpl w:val="13E6C052"/>
    <w:lvl w:ilvl="0" w:tplc="40F42B8A">
      <w:start w:val="1"/>
      <w:numFmt w:val="decimal"/>
      <w:lvlText w:val="%1."/>
      <w:lvlJc w:val="left"/>
      <w:pPr>
        <w:ind w:left="422" w:hanging="420"/>
      </w:pPr>
      <w:rPr>
        <w:rFonts w:hint="eastAsia"/>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4">
    <w:nsid w:val="15C321BC"/>
    <w:multiLevelType w:val="singleLevel"/>
    <w:tmpl w:val="15C321BC"/>
    <w:lvl w:ilvl="0">
      <w:start w:val="1"/>
      <w:numFmt w:val="decimal"/>
      <w:suff w:val="space"/>
      <w:lvlText w:val="%1."/>
      <w:lvlJc w:val="left"/>
    </w:lvl>
  </w:abstractNum>
  <w:abstractNum w:abstractNumId="5">
    <w:nsid w:val="19B13E3D"/>
    <w:multiLevelType w:val="multilevel"/>
    <w:tmpl w:val="29C842C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i/>
        <w:i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1C35447E"/>
    <w:multiLevelType w:val="hybridMultilevel"/>
    <w:tmpl w:val="F2D6C058"/>
    <w:lvl w:ilvl="0" w:tplc="DD546924">
      <w:start w:val="1"/>
      <w:numFmt w:val="lowerLetter"/>
      <w:lvlText w:val="(%1)"/>
      <w:lvlJc w:val="left"/>
      <w:pPr>
        <w:ind w:left="3600"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7">
    <w:nsid w:val="1E9F764A"/>
    <w:multiLevelType w:val="hybridMultilevel"/>
    <w:tmpl w:val="3136541A"/>
    <w:lvl w:ilvl="0" w:tplc="F2B46C40">
      <w:start w:val="1"/>
      <w:numFmt w:val="lowerLetter"/>
      <w:lvlText w:val="(%1)"/>
      <w:lvlJc w:val="left"/>
      <w:pPr>
        <w:ind w:left="3822" w:hanging="99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8">
    <w:nsid w:val="1FA06F26"/>
    <w:multiLevelType w:val="hybridMultilevel"/>
    <w:tmpl w:val="CB28720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271640DD"/>
    <w:multiLevelType w:val="multilevel"/>
    <w:tmpl w:val="65200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8B86168"/>
    <w:multiLevelType w:val="multilevel"/>
    <w:tmpl w:val="6BC6F6E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i/>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E1C243F"/>
    <w:multiLevelType w:val="hybridMultilevel"/>
    <w:tmpl w:val="A33E1450"/>
    <w:lvl w:ilvl="0" w:tplc="DE70FBB2">
      <w:start w:val="1"/>
      <w:numFmt w:val="lowerLetter"/>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12">
    <w:nsid w:val="3B8D3D72"/>
    <w:multiLevelType w:val="hybridMultilevel"/>
    <w:tmpl w:val="BC3CEFF2"/>
    <w:lvl w:ilvl="0" w:tplc="A394E09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371EFE"/>
    <w:multiLevelType w:val="hybridMultilevel"/>
    <w:tmpl w:val="4650F3F0"/>
    <w:lvl w:ilvl="0" w:tplc="BDE20954">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4">
    <w:nsid w:val="499E66D4"/>
    <w:multiLevelType w:val="hybridMultilevel"/>
    <w:tmpl w:val="FC420886"/>
    <w:lvl w:ilvl="0" w:tplc="1DD848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805E80"/>
    <w:multiLevelType w:val="hybridMultilevel"/>
    <w:tmpl w:val="C2D87EC8"/>
    <w:lvl w:ilvl="0" w:tplc="4A9A6C2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BA09B2"/>
    <w:multiLevelType w:val="hybridMultilevel"/>
    <w:tmpl w:val="C032B294"/>
    <w:lvl w:ilvl="0" w:tplc="99942B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EF4875"/>
    <w:multiLevelType w:val="multilevel"/>
    <w:tmpl w:val="CB1698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8F2157C"/>
    <w:multiLevelType w:val="hybridMultilevel"/>
    <w:tmpl w:val="AE602A4C"/>
    <w:lvl w:ilvl="0" w:tplc="AAC4A788">
      <w:start w:val="1"/>
      <w:numFmt w:val="decimal"/>
      <w:lvlText w:val="%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19">
    <w:nsid w:val="5FA45212"/>
    <w:multiLevelType w:val="hybridMultilevel"/>
    <w:tmpl w:val="68B43512"/>
    <w:lvl w:ilvl="0" w:tplc="F2B46C40">
      <w:start w:val="1"/>
      <w:numFmt w:val="lowerLetter"/>
      <w:lvlText w:val="(%1)"/>
      <w:lvlJc w:val="left"/>
      <w:pPr>
        <w:ind w:left="6654" w:hanging="990"/>
      </w:pPr>
      <w:rPr>
        <w:rFonts w:hint="default"/>
      </w:rPr>
    </w:lvl>
    <w:lvl w:ilvl="1" w:tplc="04190019" w:tentative="1">
      <w:start w:val="1"/>
      <w:numFmt w:val="lowerLetter"/>
      <w:lvlText w:val="%2."/>
      <w:lvlJc w:val="left"/>
      <w:pPr>
        <w:ind w:left="4272" w:hanging="360"/>
      </w:pPr>
    </w:lvl>
    <w:lvl w:ilvl="2" w:tplc="0419001B" w:tentative="1">
      <w:start w:val="1"/>
      <w:numFmt w:val="lowerRoman"/>
      <w:lvlText w:val="%3."/>
      <w:lvlJc w:val="right"/>
      <w:pPr>
        <w:ind w:left="4992" w:hanging="180"/>
      </w:pPr>
    </w:lvl>
    <w:lvl w:ilvl="3" w:tplc="0419000F" w:tentative="1">
      <w:start w:val="1"/>
      <w:numFmt w:val="decimal"/>
      <w:lvlText w:val="%4."/>
      <w:lvlJc w:val="left"/>
      <w:pPr>
        <w:ind w:left="5712" w:hanging="360"/>
      </w:pPr>
    </w:lvl>
    <w:lvl w:ilvl="4" w:tplc="04190019">
      <w:start w:val="1"/>
      <w:numFmt w:val="lowerLetter"/>
      <w:lvlText w:val="%5."/>
      <w:lvlJc w:val="left"/>
      <w:pPr>
        <w:ind w:left="6432" w:hanging="360"/>
      </w:pPr>
    </w:lvl>
    <w:lvl w:ilvl="5" w:tplc="0419001B" w:tentative="1">
      <w:start w:val="1"/>
      <w:numFmt w:val="lowerRoman"/>
      <w:lvlText w:val="%6."/>
      <w:lvlJc w:val="right"/>
      <w:pPr>
        <w:ind w:left="7152" w:hanging="180"/>
      </w:pPr>
    </w:lvl>
    <w:lvl w:ilvl="6" w:tplc="0419000F" w:tentative="1">
      <w:start w:val="1"/>
      <w:numFmt w:val="decimal"/>
      <w:lvlText w:val="%7."/>
      <w:lvlJc w:val="left"/>
      <w:pPr>
        <w:ind w:left="7872" w:hanging="360"/>
      </w:pPr>
    </w:lvl>
    <w:lvl w:ilvl="7" w:tplc="04190019" w:tentative="1">
      <w:start w:val="1"/>
      <w:numFmt w:val="lowerLetter"/>
      <w:lvlText w:val="%8."/>
      <w:lvlJc w:val="left"/>
      <w:pPr>
        <w:ind w:left="8592" w:hanging="360"/>
      </w:pPr>
    </w:lvl>
    <w:lvl w:ilvl="8" w:tplc="0419001B" w:tentative="1">
      <w:start w:val="1"/>
      <w:numFmt w:val="lowerRoman"/>
      <w:lvlText w:val="%9."/>
      <w:lvlJc w:val="right"/>
      <w:pPr>
        <w:ind w:left="9312" w:hanging="180"/>
      </w:pPr>
    </w:lvl>
  </w:abstractNum>
  <w:abstractNum w:abstractNumId="20">
    <w:nsid w:val="62AC1FE0"/>
    <w:multiLevelType w:val="hybridMultilevel"/>
    <w:tmpl w:val="2FB6DA06"/>
    <w:lvl w:ilvl="0" w:tplc="2A6E3450">
      <w:start w:val="1"/>
      <w:numFmt w:val="lowerLetter"/>
      <w:lvlText w:val="(%1)"/>
      <w:lvlJc w:val="left"/>
      <w:pPr>
        <w:ind w:left="3600"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1">
    <w:nsid w:val="62F525CD"/>
    <w:multiLevelType w:val="hybridMultilevel"/>
    <w:tmpl w:val="33EC64C6"/>
    <w:lvl w:ilvl="0" w:tplc="B880A038">
      <w:start w:val="1"/>
      <w:numFmt w:val="lowerLetter"/>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2">
    <w:nsid w:val="70CD4AE3"/>
    <w:multiLevelType w:val="hybridMultilevel"/>
    <w:tmpl w:val="8FC88168"/>
    <w:lvl w:ilvl="0" w:tplc="B3484D50">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3">
    <w:nsid w:val="72C70933"/>
    <w:multiLevelType w:val="hybridMultilevel"/>
    <w:tmpl w:val="D49C1450"/>
    <w:lvl w:ilvl="0" w:tplc="02B8A686">
      <w:start w:val="1"/>
      <w:numFmt w:val="lowerLetter"/>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24">
    <w:nsid w:val="74D905E2"/>
    <w:multiLevelType w:val="hybridMultilevel"/>
    <w:tmpl w:val="F06A9936"/>
    <w:lvl w:ilvl="0" w:tplc="6250073C">
      <w:start w:val="1"/>
      <w:numFmt w:val="lowerLetter"/>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AB2326"/>
    <w:multiLevelType w:val="hybridMultilevel"/>
    <w:tmpl w:val="4AB2D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BA81FA1"/>
    <w:multiLevelType w:val="hybridMultilevel"/>
    <w:tmpl w:val="997477E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8"/>
  </w:num>
  <w:num w:numId="2">
    <w:abstractNumId w:val="26"/>
  </w:num>
  <w:num w:numId="3">
    <w:abstractNumId w:val="3"/>
  </w:num>
  <w:num w:numId="4">
    <w:abstractNumId w:val="1"/>
  </w:num>
  <w:num w:numId="5">
    <w:abstractNumId w:val="13"/>
  </w:num>
  <w:num w:numId="6">
    <w:abstractNumId w:val="22"/>
  </w:num>
  <w:num w:numId="7">
    <w:abstractNumId w:val="10"/>
  </w:num>
  <w:num w:numId="8">
    <w:abstractNumId w:val="15"/>
  </w:num>
  <w:num w:numId="9">
    <w:abstractNumId w:val="9"/>
  </w:num>
  <w:num w:numId="10">
    <w:abstractNumId w:val="5"/>
  </w:num>
  <w:num w:numId="11">
    <w:abstractNumId w:val="14"/>
  </w:num>
  <w:num w:numId="12">
    <w:abstractNumId w:val="16"/>
  </w:num>
  <w:num w:numId="13">
    <w:abstractNumId w:val="21"/>
  </w:num>
  <w:num w:numId="14">
    <w:abstractNumId w:val="17"/>
  </w:num>
  <w:num w:numId="15">
    <w:abstractNumId w:val="4"/>
  </w:num>
  <w:num w:numId="16">
    <w:abstractNumId w:val="25"/>
  </w:num>
  <w:num w:numId="17">
    <w:abstractNumId w:val="18"/>
  </w:num>
  <w:num w:numId="18">
    <w:abstractNumId w:val="23"/>
  </w:num>
  <w:num w:numId="19">
    <w:abstractNumId w:val="11"/>
  </w:num>
  <w:num w:numId="20">
    <w:abstractNumId w:val="2"/>
  </w:num>
  <w:num w:numId="21">
    <w:abstractNumId w:val="7"/>
  </w:num>
  <w:num w:numId="22">
    <w:abstractNumId w:val="19"/>
  </w:num>
  <w:num w:numId="23">
    <w:abstractNumId w:val="20"/>
  </w:num>
  <w:num w:numId="24">
    <w:abstractNumId w:val="6"/>
  </w:num>
  <w:num w:numId="25">
    <w:abstractNumId w:val="0"/>
  </w:num>
  <w:num w:numId="26">
    <w:abstractNumId w:val="12"/>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BFE"/>
    <w:rsid w:val="000B1549"/>
    <w:rsid w:val="000D7B9B"/>
    <w:rsid w:val="0013217D"/>
    <w:rsid w:val="00254B4D"/>
    <w:rsid w:val="00270391"/>
    <w:rsid w:val="006323CD"/>
    <w:rsid w:val="006B3BBD"/>
    <w:rsid w:val="0092552E"/>
    <w:rsid w:val="009267EB"/>
    <w:rsid w:val="00BB2547"/>
    <w:rsid w:val="00C261F0"/>
    <w:rsid w:val="00D75F34"/>
    <w:rsid w:val="00E05BFE"/>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2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qFormat="1"/>
    <w:lsdException w:name="caption" w:uiPriority="0" w:qFormat="1"/>
    <w:lsdException w:name="footnote reference" w:uiPriority="0"/>
    <w:lsdException w:name="annotation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E05BFE"/>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
    <w:next w:val="a"/>
    <w:link w:val="20"/>
    <w:qFormat/>
    <w:rsid w:val="00E05BFE"/>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E05BFE"/>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
    <w:next w:val="a"/>
    <w:link w:val="40"/>
    <w:uiPriority w:val="29"/>
    <w:unhideWhenUsed/>
    <w:qFormat/>
    <w:rsid w:val="00E05BFE"/>
    <w:pPr>
      <w:keepNext/>
      <w:widowControl w:val="0"/>
      <w:spacing w:before="300" w:after="60"/>
      <w:jc w:val="both"/>
      <w:outlineLvl w:val="3"/>
    </w:pPr>
    <w:rPr>
      <w:rFonts w:ascii="Calibri" w:eastAsia="Times New Roman" w:hAnsi="Calibri"/>
      <w:b/>
      <w:snapToGrid w:val="0"/>
      <w:color w:val="943634"/>
      <w:spacing w:val="10"/>
      <w:szCs w:val="24"/>
      <w:lang w:val="en-US" w:eastAsia="en-US"/>
    </w:rPr>
  </w:style>
  <w:style w:type="paragraph" w:styleId="5">
    <w:name w:val="heading 5"/>
    <w:basedOn w:val="a"/>
    <w:next w:val="a"/>
    <w:link w:val="50"/>
    <w:uiPriority w:val="9"/>
    <w:unhideWhenUsed/>
    <w:qFormat/>
    <w:rsid w:val="00E05BFE"/>
    <w:pPr>
      <w:widowControl w:val="0"/>
      <w:pBdr>
        <w:bottom w:val="single" w:sz="6" w:space="1" w:color="4F81BD"/>
      </w:pBdr>
      <w:spacing w:before="300" w:after="0"/>
      <w:jc w:val="both"/>
      <w:outlineLvl w:val="4"/>
    </w:pPr>
    <w:rPr>
      <w:rFonts w:ascii="Calibri" w:eastAsia="Times New Roman" w:hAnsi="Calibri"/>
      <w:caps/>
      <w:snapToGrid w:val="0"/>
      <w:color w:val="365F91"/>
      <w:spacing w:val="10"/>
      <w:szCs w:val="24"/>
      <w:lang w:val="en-US" w:eastAsia="en-US"/>
    </w:rPr>
  </w:style>
  <w:style w:type="paragraph" w:styleId="6">
    <w:name w:val="heading 6"/>
    <w:basedOn w:val="a"/>
    <w:next w:val="a"/>
    <w:link w:val="60"/>
    <w:uiPriority w:val="9"/>
    <w:semiHidden/>
    <w:unhideWhenUsed/>
    <w:qFormat/>
    <w:rsid w:val="00E05BFE"/>
    <w:pPr>
      <w:widowControl w:val="0"/>
      <w:pBdr>
        <w:bottom w:val="dotted" w:sz="6" w:space="1" w:color="4F81BD"/>
      </w:pBdr>
      <w:spacing w:before="300" w:after="0"/>
      <w:jc w:val="both"/>
      <w:outlineLvl w:val="5"/>
    </w:pPr>
    <w:rPr>
      <w:rFonts w:ascii="Calibri" w:eastAsia="Times New Roman" w:hAnsi="Calibri"/>
      <w:caps/>
      <w:snapToGrid w:val="0"/>
      <w:color w:val="365F91"/>
      <w:spacing w:val="10"/>
      <w:szCs w:val="24"/>
      <w:lang w:val="en-US" w:eastAsia="en-US"/>
    </w:rPr>
  </w:style>
  <w:style w:type="paragraph" w:styleId="7">
    <w:name w:val="heading 7"/>
    <w:basedOn w:val="a"/>
    <w:next w:val="a"/>
    <w:link w:val="70"/>
    <w:uiPriority w:val="9"/>
    <w:semiHidden/>
    <w:unhideWhenUsed/>
    <w:qFormat/>
    <w:rsid w:val="00E05BFE"/>
    <w:pPr>
      <w:widowControl w:val="0"/>
      <w:spacing w:before="300" w:after="0"/>
      <w:jc w:val="both"/>
      <w:outlineLvl w:val="6"/>
    </w:pPr>
    <w:rPr>
      <w:rFonts w:ascii="Calibri" w:eastAsia="Times New Roman" w:hAnsi="Calibri"/>
      <w:caps/>
      <w:snapToGrid w:val="0"/>
      <w:color w:val="365F91"/>
      <w:spacing w:val="10"/>
      <w:szCs w:val="24"/>
      <w:lang w:val="en-US" w:eastAsia="en-US"/>
    </w:rPr>
  </w:style>
  <w:style w:type="paragraph" w:styleId="8">
    <w:name w:val="heading 8"/>
    <w:basedOn w:val="a"/>
    <w:next w:val="a"/>
    <w:link w:val="80"/>
    <w:uiPriority w:val="9"/>
    <w:semiHidden/>
    <w:unhideWhenUsed/>
    <w:qFormat/>
    <w:rsid w:val="00E05BFE"/>
    <w:pPr>
      <w:widowControl w:val="0"/>
      <w:spacing w:before="300" w:after="0"/>
      <w:jc w:val="both"/>
      <w:outlineLvl w:val="7"/>
    </w:pPr>
    <w:rPr>
      <w:rFonts w:ascii="Calibri" w:eastAsia="Times New Roman" w:hAnsi="Calibri"/>
      <w:caps/>
      <w:snapToGrid w:val="0"/>
      <w:spacing w:val="10"/>
      <w:sz w:val="18"/>
      <w:szCs w:val="18"/>
      <w:lang w:val="en-US" w:eastAsia="en-US"/>
    </w:rPr>
  </w:style>
  <w:style w:type="paragraph" w:styleId="9">
    <w:name w:val="heading 9"/>
    <w:basedOn w:val="a"/>
    <w:next w:val="a"/>
    <w:link w:val="90"/>
    <w:uiPriority w:val="9"/>
    <w:semiHidden/>
    <w:unhideWhenUsed/>
    <w:qFormat/>
    <w:rsid w:val="00E05BFE"/>
    <w:pPr>
      <w:widowControl w:val="0"/>
      <w:spacing w:before="300" w:after="0"/>
      <w:jc w:val="both"/>
      <w:outlineLvl w:val="8"/>
    </w:pPr>
    <w:rPr>
      <w:rFonts w:ascii="Calibri" w:eastAsia="Times New Roman" w:hAnsi="Calibri"/>
      <w:i/>
      <w:caps/>
      <w:snapToGrid w:val="0"/>
      <w:spacing w:val="10"/>
      <w:sz w:val="18"/>
      <w:szCs w:val="1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qFormat/>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E05BFE"/>
    <w:rPr>
      <w:rFonts w:eastAsia="MS Mincho"/>
      <w:b/>
      <w:caps/>
      <w:snapToGrid w:val="0"/>
      <w:szCs w:val="24"/>
      <w:lang w:val="en-US" w:eastAsia="ja-JP" w:bidi="en-US"/>
    </w:rPr>
  </w:style>
  <w:style w:type="character" w:customStyle="1" w:styleId="20">
    <w:name w:val="Заголовок 2 Знак"/>
    <w:basedOn w:val="a0"/>
    <w:link w:val="2"/>
    <w:rsid w:val="00E05BFE"/>
    <w:rPr>
      <w:rFonts w:eastAsia="Times New Roman"/>
      <w:b/>
      <w:i/>
      <w:snapToGrid w:val="0"/>
      <w:szCs w:val="24"/>
      <w:lang w:val="en-US" w:eastAsia="en-US"/>
    </w:rPr>
  </w:style>
  <w:style w:type="character" w:customStyle="1" w:styleId="30">
    <w:name w:val="Заголовок 3 Знак"/>
    <w:basedOn w:val="a0"/>
    <w:link w:val="3"/>
    <w:rsid w:val="00E05BFE"/>
    <w:rPr>
      <w:rFonts w:eastAsia="Times New Roman"/>
      <w:i/>
      <w:snapToGrid w:val="0"/>
      <w:szCs w:val="24"/>
      <w:lang w:val="en-US" w:eastAsia="en-US"/>
    </w:rPr>
  </w:style>
  <w:style w:type="character" w:customStyle="1" w:styleId="40">
    <w:name w:val="Заголовок 4 Знак"/>
    <w:basedOn w:val="a0"/>
    <w:link w:val="4"/>
    <w:uiPriority w:val="29"/>
    <w:rsid w:val="00E05BFE"/>
    <w:rPr>
      <w:rFonts w:ascii="Calibri" w:eastAsia="Times New Roman" w:hAnsi="Calibri"/>
      <w:b/>
      <w:snapToGrid w:val="0"/>
      <w:color w:val="943634"/>
      <w:spacing w:val="10"/>
      <w:szCs w:val="24"/>
      <w:lang w:val="en-US" w:eastAsia="en-US"/>
    </w:rPr>
  </w:style>
  <w:style w:type="character" w:customStyle="1" w:styleId="50">
    <w:name w:val="Заголовок 5 Знак"/>
    <w:basedOn w:val="a0"/>
    <w:link w:val="5"/>
    <w:uiPriority w:val="9"/>
    <w:rsid w:val="00E05BFE"/>
    <w:rPr>
      <w:rFonts w:ascii="Calibri" w:eastAsia="Times New Roman" w:hAnsi="Calibri"/>
      <w:caps/>
      <w:snapToGrid w:val="0"/>
      <w:color w:val="365F91"/>
      <w:spacing w:val="10"/>
      <w:szCs w:val="24"/>
      <w:lang w:val="en-US" w:eastAsia="en-US"/>
    </w:rPr>
  </w:style>
  <w:style w:type="character" w:customStyle="1" w:styleId="60">
    <w:name w:val="Заголовок 6 Знак"/>
    <w:basedOn w:val="a0"/>
    <w:link w:val="6"/>
    <w:uiPriority w:val="9"/>
    <w:semiHidden/>
    <w:rsid w:val="00E05BFE"/>
    <w:rPr>
      <w:rFonts w:ascii="Calibri" w:eastAsia="Times New Roman" w:hAnsi="Calibri"/>
      <w:caps/>
      <w:snapToGrid w:val="0"/>
      <w:color w:val="365F91"/>
      <w:spacing w:val="10"/>
      <w:szCs w:val="24"/>
      <w:lang w:val="en-US" w:eastAsia="en-US"/>
    </w:rPr>
  </w:style>
  <w:style w:type="character" w:customStyle="1" w:styleId="70">
    <w:name w:val="Заголовок 7 Знак"/>
    <w:basedOn w:val="a0"/>
    <w:link w:val="7"/>
    <w:uiPriority w:val="9"/>
    <w:semiHidden/>
    <w:rsid w:val="00E05BFE"/>
    <w:rPr>
      <w:rFonts w:ascii="Calibri" w:eastAsia="Times New Roman" w:hAnsi="Calibri"/>
      <w:caps/>
      <w:snapToGrid w:val="0"/>
      <w:color w:val="365F91"/>
      <w:spacing w:val="10"/>
      <w:szCs w:val="24"/>
      <w:lang w:val="en-US" w:eastAsia="en-US"/>
    </w:rPr>
  </w:style>
  <w:style w:type="character" w:customStyle="1" w:styleId="80">
    <w:name w:val="Заголовок 8 Знак"/>
    <w:basedOn w:val="a0"/>
    <w:link w:val="8"/>
    <w:uiPriority w:val="9"/>
    <w:semiHidden/>
    <w:rsid w:val="00E05BFE"/>
    <w:rPr>
      <w:rFonts w:ascii="Calibri" w:eastAsia="Times New Roman" w:hAnsi="Calibri"/>
      <w:caps/>
      <w:snapToGrid w:val="0"/>
      <w:spacing w:val="10"/>
      <w:sz w:val="18"/>
      <w:szCs w:val="18"/>
      <w:lang w:val="en-US" w:eastAsia="en-US"/>
    </w:rPr>
  </w:style>
  <w:style w:type="character" w:customStyle="1" w:styleId="90">
    <w:name w:val="Заголовок 9 Знак"/>
    <w:basedOn w:val="a0"/>
    <w:link w:val="9"/>
    <w:uiPriority w:val="9"/>
    <w:semiHidden/>
    <w:rsid w:val="00E05BFE"/>
    <w:rPr>
      <w:rFonts w:ascii="Calibri" w:eastAsia="Times New Roman" w:hAnsi="Calibri"/>
      <w:i/>
      <w:caps/>
      <w:snapToGrid w:val="0"/>
      <w:spacing w:val="10"/>
      <w:sz w:val="18"/>
      <w:szCs w:val="18"/>
      <w:lang w:val="en-US" w:eastAsia="en-US"/>
    </w:rPr>
  </w:style>
  <w:style w:type="numbering" w:customStyle="1" w:styleId="11">
    <w:name w:val="Нет списка1"/>
    <w:next w:val="a2"/>
    <w:uiPriority w:val="99"/>
    <w:semiHidden/>
    <w:unhideWhenUsed/>
    <w:rsid w:val="00E05BFE"/>
  </w:style>
  <w:style w:type="numbering" w:customStyle="1" w:styleId="110">
    <w:name w:val="Нет списка11"/>
    <w:next w:val="a2"/>
    <w:uiPriority w:val="99"/>
    <w:semiHidden/>
    <w:unhideWhenUsed/>
    <w:rsid w:val="00E05BFE"/>
  </w:style>
  <w:style w:type="paragraph" w:styleId="a9">
    <w:name w:val="endnote text"/>
    <w:basedOn w:val="a"/>
    <w:link w:val="aa"/>
    <w:semiHidden/>
    <w:rsid w:val="00E05BFE"/>
    <w:pPr>
      <w:widowControl w:val="0"/>
      <w:spacing w:after="0" w:line="240" w:lineRule="auto"/>
      <w:ind w:left="720" w:hanging="720"/>
      <w:jc w:val="both"/>
    </w:pPr>
    <w:rPr>
      <w:rFonts w:eastAsia="Times New Roman"/>
      <w:snapToGrid w:val="0"/>
      <w:szCs w:val="24"/>
      <w:lang w:val="en-US" w:eastAsia="en-US"/>
    </w:rPr>
  </w:style>
  <w:style w:type="character" w:customStyle="1" w:styleId="aa">
    <w:name w:val="Текст концевой сноски Знак"/>
    <w:basedOn w:val="a0"/>
    <w:link w:val="a9"/>
    <w:semiHidden/>
    <w:rsid w:val="00E05BFE"/>
    <w:rPr>
      <w:rFonts w:eastAsia="Times New Roman"/>
      <w:snapToGrid w:val="0"/>
      <w:szCs w:val="24"/>
      <w:lang w:val="en-US" w:eastAsia="en-US"/>
    </w:rPr>
  </w:style>
  <w:style w:type="paragraph" w:styleId="ab">
    <w:name w:val="footnote text"/>
    <w:basedOn w:val="a"/>
    <w:link w:val="ac"/>
    <w:rsid w:val="00E05BFE"/>
    <w:pPr>
      <w:widowControl w:val="0"/>
      <w:spacing w:after="0" w:line="240" w:lineRule="auto"/>
      <w:jc w:val="both"/>
    </w:pPr>
    <w:rPr>
      <w:rFonts w:eastAsia="Times New Roman"/>
      <w:sz w:val="20"/>
      <w:szCs w:val="24"/>
      <w:lang w:val="en-US" w:eastAsia="en-US"/>
    </w:rPr>
  </w:style>
  <w:style w:type="character" w:customStyle="1" w:styleId="ac">
    <w:name w:val="Текст сноски Знак"/>
    <w:basedOn w:val="a0"/>
    <w:link w:val="ab"/>
    <w:rsid w:val="00E05BFE"/>
    <w:rPr>
      <w:rFonts w:eastAsia="Times New Roman"/>
      <w:sz w:val="20"/>
      <w:szCs w:val="24"/>
      <w:lang w:val="en-US" w:eastAsia="en-US"/>
    </w:rPr>
  </w:style>
  <w:style w:type="character" w:styleId="ad">
    <w:name w:val="footnote reference"/>
    <w:basedOn w:val="a0"/>
    <w:semiHidden/>
    <w:rsid w:val="00E05BFE"/>
    <w:rPr>
      <w:rFonts w:ascii="Times New Roman" w:hAnsi="Times New Roman"/>
      <w:sz w:val="22"/>
      <w:vertAlign w:val="superscript"/>
    </w:rPr>
  </w:style>
  <w:style w:type="paragraph" w:styleId="ae">
    <w:name w:val="toa heading"/>
    <w:basedOn w:val="a"/>
    <w:next w:val="a"/>
    <w:semiHidden/>
    <w:rsid w:val="00E05BFE"/>
    <w:pPr>
      <w:widowControl w:val="0"/>
      <w:tabs>
        <w:tab w:val="right" w:pos="9360"/>
      </w:tabs>
      <w:suppressAutoHyphens/>
      <w:spacing w:after="0" w:line="240" w:lineRule="auto"/>
      <w:jc w:val="both"/>
    </w:pPr>
    <w:rPr>
      <w:rFonts w:eastAsia="Times New Roman"/>
      <w:szCs w:val="24"/>
      <w:lang w:val="en-US" w:eastAsia="en-US"/>
    </w:rPr>
  </w:style>
  <w:style w:type="paragraph" w:styleId="af">
    <w:name w:val="caption"/>
    <w:basedOn w:val="a"/>
    <w:next w:val="a"/>
    <w:link w:val="af0"/>
    <w:qFormat/>
    <w:rsid w:val="00E05BFE"/>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1"/>
    <w:qFormat/>
    <w:rsid w:val="00E05BFE"/>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styleId="21">
    <w:name w:val="Body Text 2"/>
    <w:basedOn w:val="a"/>
    <w:link w:val="22"/>
    <w:semiHidden/>
    <w:rsid w:val="00E05BFE"/>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0"/>
    <w:link w:val="21"/>
    <w:semiHidden/>
    <w:rsid w:val="00E05BFE"/>
    <w:rPr>
      <w:rFonts w:eastAsia="Times New Roman"/>
      <w:szCs w:val="24"/>
      <w:lang w:val="en-US" w:eastAsia="en-US"/>
    </w:rPr>
  </w:style>
  <w:style w:type="character" w:customStyle="1" w:styleId="12">
    <w:name w:val="Гиперссылка1"/>
    <w:basedOn w:val="a0"/>
    <w:rsid w:val="00E05BFE"/>
    <w:rPr>
      <w:rFonts w:ascii="Times New Roman" w:hAnsi="Times New Roman"/>
      <w:color w:val="0000FF"/>
      <w:sz w:val="20"/>
      <w:u w:val="single"/>
    </w:rPr>
  </w:style>
  <w:style w:type="paragraph" w:customStyle="1" w:styleId="Abstractheading">
    <w:name w:val="Abstract heading"/>
    <w:basedOn w:val="a"/>
    <w:qFormat/>
    <w:rsid w:val="00E05BFE"/>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E05BFE"/>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E05BFE"/>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E05BFE"/>
    <w:rPr>
      <w:rFonts w:cs="Calibri"/>
      <w:sz w:val="20"/>
    </w:rPr>
  </w:style>
  <w:style w:type="paragraph" w:customStyle="1" w:styleId="References">
    <w:name w:val="References"/>
    <w:basedOn w:val="a"/>
    <w:link w:val="ReferencesChar"/>
    <w:qFormat/>
    <w:rsid w:val="00E05BFE"/>
    <w:pPr>
      <w:widowControl w:val="0"/>
      <w:tabs>
        <w:tab w:val="left" w:pos="360"/>
      </w:tabs>
      <w:autoSpaceDE w:val="0"/>
      <w:autoSpaceDN w:val="0"/>
      <w:spacing w:after="120" w:line="240" w:lineRule="auto"/>
      <w:jc w:val="both"/>
    </w:pPr>
    <w:rPr>
      <w:rFonts w:cs="Calibri"/>
      <w:sz w:val="20"/>
    </w:rPr>
  </w:style>
  <w:style w:type="paragraph" w:customStyle="1" w:styleId="13">
    <w:name w:val="Заголовок1"/>
    <w:basedOn w:val="a"/>
    <w:next w:val="a"/>
    <w:link w:val="af2"/>
    <w:uiPriority w:val="10"/>
    <w:qFormat/>
    <w:rsid w:val="00E05BFE"/>
    <w:pPr>
      <w:widowControl w:val="0"/>
      <w:pBdr>
        <w:bottom w:val="single" w:sz="8" w:space="4" w:color="4F81BD"/>
      </w:pBdr>
      <w:spacing w:after="300" w:line="240" w:lineRule="auto"/>
      <w:contextualSpacing/>
      <w:jc w:val="both"/>
    </w:pPr>
    <w:rPr>
      <w:rFonts w:ascii="Cambria" w:eastAsia="Times New Roman" w:hAnsi="Cambria"/>
      <w:color w:val="17365D"/>
      <w:spacing w:val="5"/>
      <w:kern w:val="28"/>
      <w:sz w:val="52"/>
      <w:szCs w:val="52"/>
      <w:lang w:val="en-US" w:eastAsia="en-US"/>
    </w:rPr>
  </w:style>
  <w:style w:type="character" w:customStyle="1" w:styleId="af2">
    <w:name w:val="Заголовок Знак"/>
    <w:basedOn w:val="a0"/>
    <w:link w:val="13"/>
    <w:uiPriority w:val="10"/>
    <w:rsid w:val="00E05BFE"/>
    <w:rPr>
      <w:rFonts w:ascii="Cambria" w:eastAsia="Times New Roman" w:hAnsi="Cambria"/>
      <w:color w:val="17365D"/>
      <w:spacing w:val="5"/>
      <w:kern w:val="28"/>
      <w:sz w:val="52"/>
      <w:szCs w:val="52"/>
      <w:lang w:val="en-US" w:eastAsia="en-US"/>
    </w:rPr>
  </w:style>
  <w:style w:type="paragraph" w:styleId="af3">
    <w:name w:val="Body Text Indent"/>
    <w:basedOn w:val="a"/>
    <w:link w:val="af4"/>
    <w:uiPriority w:val="99"/>
    <w:semiHidden/>
    <w:unhideWhenUsed/>
    <w:rsid w:val="00E05BFE"/>
    <w:pPr>
      <w:widowControl w:val="0"/>
      <w:spacing w:after="120" w:line="240" w:lineRule="auto"/>
      <w:ind w:left="283"/>
      <w:jc w:val="both"/>
    </w:pPr>
    <w:rPr>
      <w:rFonts w:eastAsia="Times New Roman"/>
      <w:szCs w:val="24"/>
      <w:lang w:val="en-US" w:eastAsia="en-US"/>
    </w:rPr>
  </w:style>
  <w:style w:type="character" w:customStyle="1" w:styleId="af4">
    <w:name w:val="Основной текст с отступом Знак"/>
    <w:basedOn w:val="a0"/>
    <w:link w:val="af3"/>
    <w:uiPriority w:val="99"/>
    <w:semiHidden/>
    <w:rsid w:val="00E05BFE"/>
    <w:rPr>
      <w:rFonts w:eastAsia="Times New Roman"/>
      <w:szCs w:val="24"/>
      <w:lang w:val="en-US" w:eastAsia="en-US"/>
    </w:rPr>
  </w:style>
  <w:style w:type="character" w:customStyle="1" w:styleId="UnresolvedMention">
    <w:name w:val="Unresolved Mention"/>
    <w:basedOn w:val="a0"/>
    <w:uiPriority w:val="99"/>
    <w:semiHidden/>
    <w:unhideWhenUsed/>
    <w:rsid w:val="00E05BFE"/>
    <w:rPr>
      <w:color w:val="605E5C"/>
      <w:shd w:val="clear" w:color="auto" w:fill="E1DFDD"/>
    </w:rPr>
  </w:style>
  <w:style w:type="table" w:customStyle="1" w:styleId="14">
    <w:name w:val="Сетка таблицы1"/>
    <w:basedOn w:val="a1"/>
    <w:next w:val="af5"/>
    <w:uiPriority w:val="59"/>
    <w:rsid w:val="00E05BFE"/>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text">
    <w:name w:val="Reference text"/>
    <w:basedOn w:val="a"/>
    <w:rsid w:val="00E05BFE"/>
    <w:pPr>
      <w:widowControl w:val="0"/>
      <w:suppressAutoHyphens/>
      <w:overflowPunct w:val="0"/>
      <w:autoSpaceDE w:val="0"/>
      <w:autoSpaceDN w:val="0"/>
      <w:adjustRightInd w:val="0"/>
      <w:spacing w:before="120" w:after="0" w:line="220" w:lineRule="exact"/>
      <w:ind w:left="230" w:hanging="230"/>
      <w:jc w:val="both"/>
    </w:pPr>
    <w:rPr>
      <w:rFonts w:eastAsia="Times New Roman"/>
      <w:snapToGrid w:val="0"/>
      <w:sz w:val="20"/>
      <w:szCs w:val="20"/>
      <w:lang w:val="en-NZ" w:eastAsia="en-US"/>
    </w:rPr>
  </w:style>
  <w:style w:type="paragraph" w:styleId="af6">
    <w:name w:val="List Paragraph"/>
    <w:basedOn w:val="a"/>
    <w:link w:val="af7"/>
    <w:uiPriority w:val="34"/>
    <w:qFormat/>
    <w:rsid w:val="00E05BFE"/>
    <w:pPr>
      <w:widowControl w:val="0"/>
      <w:spacing w:after="0" w:line="240" w:lineRule="auto"/>
      <w:ind w:left="720"/>
      <w:contextualSpacing/>
      <w:jc w:val="both"/>
    </w:pPr>
    <w:rPr>
      <w:rFonts w:eastAsia="Times New Roman"/>
      <w:szCs w:val="24"/>
      <w:lang w:val="en-US" w:eastAsia="en-US"/>
    </w:rPr>
  </w:style>
  <w:style w:type="paragraph" w:customStyle="1" w:styleId="15">
    <w:name w:val="Название1"/>
    <w:basedOn w:val="a"/>
    <w:next w:val="a"/>
    <w:link w:val="af8"/>
    <w:uiPriority w:val="10"/>
    <w:qFormat/>
    <w:rsid w:val="00E05BFE"/>
    <w:pPr>
      <w:widowControl w:val="0"/>
      <w:spacing w:after="0" w:line="240" w:lineRule="auto"/>
      <w:contextualSpacing/>
      <w:jc w:val="both"/>
    </w:pPr>
    <w:rPr>
      <w:rFonts w:ascii="Calibri Light" w:eastAsia="Times New Roman" w:hAnsi="Calibri Light"/>
      <w:spacing w:val="-10"/>
      <w:kern w:val="28"/>
      <w:sz w:val="56"/>
      <w:szCs w:val="56"/>
    </w:rPr>
  </w:style>
  <w:style w:type="character" w:customStyle="1" w:styleId="af8">
    <w:name w:val="Название Знак"/>
    <w:basedOn w:val="a0"/>
    <w:link w:val="15"/>
    <w:uiPriority w:val="10"/>
    <w:rsid w:val="00E05BFE"/>
    <w:rPr>
      <w:rFonts w:ascii="Calibri Light" w:eastAsia="Times New Roman" w:hAnsi="Calibri Light" w:cs="Times New Roman"/>
      <w:spacing w:val="-10"/>
      <w:kern w:val="28"/>
      <w:sz w:val="56"/>
      <w:szCs w:val="56"/>
    </w:rPr>
  </w:style>
  <w:style w:type="character" w:customStyle="1" w:styleId="23">
    <w:name w:val="Гиперссылка2"/>
    <w:basedOn w:val="a0"/>
    <w:rsid w:val="00E05BFE"/>
    <w:rPr>
      <w:rFonts w:ascii="Times New Roman" w:hAnsi="Times New Roman"/>
      <w:color w:val="0563C1"/>
      <w:sz w:val="22"/>
      <w:u w:val="single"/>
    </w:rPr>
  </w:style>
  <w:style w:type="table" w:styleId="af5">
    <w:name w:val="Table Grid"/>
    <w:basedOn w:val="a1"/>
    <w:uiPriority w:val="39"/>
    <w:rsid w:val="00E05BFE"/>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E05BFE"/>
  </w:style>
  <w:style w:type="character" w:styleId="af9">
    <w:name w:val="annotation reference"/>
    <w:basedOn w:val="a0"/>
    <w:semiHidden/>
    <w:unhideWhenUsed/>
    <w:rsid w:val="00E05BFE"/>
    <w:rPr>
      <w:sz w:val="16"/>
      <w:szCs w:val="16"/>
    </w:rPr>
  </w:style>
  <w:style w:type="paragraph" w:styleId="afa">
    <w:name w:val="annotation text"/>
    <w:basedOn w:val="a"/>
    <w:link w:val="afb"/>
    <w:semiHidden/>
    <w:unhideWhenUsed/>
    <w:rsid w:val="00E05BFE"/>
    <w:pPr>
      <w:widowControl w:val="0"/>
      <w:spacing w:after="0" w:line="240" w:lineRule="auto"/>
      <w:jc w:val="both"/>
    </w:pPr>
    <w:rPr>
      <w:rFonts w:eastAsia="Times New Roman"/>
      <w:sz w:val="20"/>
      <w:szCs w:val="20"/>
      <w:lang w:val="en-US" w:eastAsia="en-US"/>
    </w:rPr>
  </w:style>
  <w:style w:type="character" w:customStyle="1" w:styleId="afb">
    <w:name w:val="Текст примечания Знак"/>
    <w:basedOn w:val="a0"/>
    <w:link w:val="afa"/>
    <w:semiHidden/>
    <w:rsid w:val="00E05BFE"/>
    <w:rPr>
      <w:rFonts w:eastAsia="Times New Roman"/>
      <w:sz w:val="20"/>
      <w:szCs w:val="20"/>
      <w:lang w:val="en-US" w:eastAsia="en-US"/>
    </w:rPr>
  </w:style>
  <w:style w:type="paragraph" w:styleId="afc">
    <w:name w:val="annotation subject"/>
    <w:basedOn w:val="afa"/>
    <w:next w:val="afa"/>
    <w:link w:val="afd"/>
    <w:uiPriority w:val="99"/>
    <w:semiHidden/>
    <w:unhideWhenUsed/>
    <w:rsid w:val="00E05BFE"/>
    <w:rPr>
      <w:b/>
      <w:bCs/>
    </w:rPr>
  </w:style>
  <w:style w:type="character" w:customStyle="1" w:styleId="afd">
    <w:name w:val="Тема примечания Знак"/>
    <w:basedOn w:val="afb"/>
    <w:link w:val="afc"/>
    <w:uiPriority w:val="99"/>
    <w:semiHidden/>
    <w:rsid w:val="00E05BFE"/>
    <w:rPr>
      <w:rFonts w:eastAsia="Times New Roman"/>
      <w:b/>
      <w:bCs/>
      <w:sz w:val="20"/>
      <w:szCs w:val="20"/>
      <w:lang w:val="en-US" w:eastAsia="en-US"/>
    </w:rPr>
  </w:style>
  <w:style w:type="numbering" w:customStyle="1" w:styleId="31">
    <w:name w:val="Нет списка3"/>
    <w:next w:val="a2"/>
    <w:uiPriority w:val="99"/>
    <w:semiHidden/>
    <w:unhideWhenUsed/>
    <w:rsid w:val="00E05BFE"/>
  </w:style>
  <w:style w:type="paragraph" w:styleId="afe">
    <w:name w:val="Subtitle"/>
    <w:basedOn w:val="a"/>
    <w:next w:val="a"/>
    <w:link w:val="aff"/>
    <w:uiPriority w:val="11"/>
    <w:qFormat/>
    <w:rsid w:val="00E05BFE"/>
    <w:pPr>
      <w:widowControl w:val="0"/>
      <w:spacing w:after="1000" w:line="240" w:lineRule="auto"/>
      <w:jc w:val="both"/>
    </w:pPr>
    <w:rPr>
      <w:rFonts w:ascii="Calibri" w:eastAsia="Times New Roman" w:hAnsi="Calibri"/>
      <w:caps/>
      <w:snapToGrid w:val="0"/>
      <w:color w:val="595959"/>
      <w:spacing w:val="10"/>
      <w:szCs w:val="24"/>
      <w:lang w:val="en-US" w:eastAsia="en-US"/>
    </w:rPr>
  </w:style>
  <w:style w:type="character" w:customStyle="1" w:styleId="aff">
    <w:name w:val="Подзаголовок Знак"/>
    <w:basedOn w:val="a0"/>
    <w:link w:val="afe"/>
    <w:uiPriority w:val="11"/>
    <w:rsid w:val="00E05BFE"/>
    <w:rPr>
      <w:rFonts w:ascii="Calibri" w:eastAsia="Times New Roman" w:hAnsi="Calibri"/>
      <w:caps/>
      <w:snapToGrid w:val="0"/>
      <w:color w:val="595959"/>
      <w:spacing w:val="10"/>
      <w:szCs w:val="24"/>
      <w:lang w:val="en-US" w:eastAsia="en-US"/>
    </w:rPr>
  </w:style>
  <w:style w:type="character" w:styleId="aff0">
    <w:name w:val="Strong"/>
    <w:uiPriority w:val="22"/>
    <w:qFormat/>
    <w:rsid w:val="00E05BFE"/>
    <w:rPr>
      <w:b/>
      <w:bCs/>
    </w:rPr>
  </w:style>
  <w:style w:type="character" w:styleId="aff1">
    <w:name w:val="Emphasis"/>
    <w:uiPriority w:val="20"/>
    <w:qFormat/>
    <w:rsid w:val="00E05BFE"/>
    <w:rPr>
      <w:i/>
      <w:caps w:val="0"/>
      <w:color w:val="auto"/>
      <w:spacing w:val="5"/>
    </w:rPr>
  </w:style>
  <w:style w:type="paragraph" w:styleId="aff2">
    <w:name w:val="No Spacing"/>
    <w:basedOn w:val="a"/>
    <w:link w:val="aff3"/>
    <w:uiPriority w:val="1"/>
    <w:qFormat/>
    <w:rsid w:val="00E05BFE"/>
    <w:pPr>
      <w:widowControl w:val="0"/>
      <w:spacing w:after="0" w:line="240" w:lineRule="auto"/>
      <w:jc w:val="both"/>
    </w:pPr>
    <w:rPr>
      <w:rFonts w:ascii="Calibri" w:eastAsia="Times New Roman" w:hAnsi="Calibri"/>
      <w:snapToGrid w:val="0"/>
      <w:szCs w:val="20"/>
      <w:lang w:val="en-US" w:eastAsia="en-US"/>
    </w:rPr>
  </w:style>
  <w:style w:type="character" w:customStyle="1" w:styleId="aff3">
    <w:name w:val="Без интервала Знак"/>
    <w:basedOn w:val="a0"/>
    <w:link w:val="aff2"/>
    <w:uiPriority w:val="1"/>
    <w:rsid w:val="00E05BFE"/>
    <w:rPr>
      <w:rFonts w:ascii="Calibri" w:eastAsia="Times New Roman" w:hAnsi="Calibri"/>
      <w:snapToGrid w:val="0"/>
      <w:szCs w:val="20"/>
      <w:lang w:val="en-US" w:eastAsia="en-US"/>
    </w:rPr>
  </w:style>
  <w:style w:type="character" w:customStyle="1" w:styleId="af7">
    <w:name w:val="Абзац списка Знак"/>
    <w:basedOn w:val="a0"/>
    <w:link w:val="af6"/>
    <w:uiPriority w:val="34"/>
    <w:rsid w:val="00E05BFE"/>
    <w:rPr>
      <w:rFonts w:eastAsia="Times New Roman"/>
      <w:szCs w:val="24"/>
      <w:lang w:val="en-US" w:eastAsia="en-US"/>
    </w:rPr>
  </w:style>
  <w:style w:type="paragraph" w:styleId="25">
    <w:name w:val="Quote"/>
    <w:basedOn w:val="a"/>
    <w:next w:val="a"/>
    <w:link w:val="26"/>
    <w:uiPriority w:val="29"/>
    <w:qFormat/>
    <w:rsid w:val="00E05BFE"/>
    <w:pPr>
      <w:widowControl w:val="0"/>
      <w:jc w:val="both"/>
    </w:pPr>
    <w:rPr>
      <w:rFonts w:ascii="Calibri" w:eastAsia="Times New Roman" w:hAnsi="Calibri"/>
      <w:i/>
      <w:iCs/>
      <w:snapToGrid w:val="0"/>
      <w:szCs w:val="20"/>
      <w:lang w:val="en-US" w:eastAsia="en-US"/>
    </w:rPr>
  </w:style>
  <w:style w:type="character" w:customStyle="1" w:styleId="26">
    <w:name w:val="Цитата 2 Знак"/>
    <w:basedOn w:val="a0"/>
    <w:link w:val="25"/>
    <w:uiPriority w:val="29"/>
    <w:rsid w:val="00E05BFE"/>
    <w:rPr>
      <w:rFonts w:ascii="Calibri" w:eastAsia="Times New Roman" w:hAnsi="Calibri"/>
      <w:i/>
      <w:iCs/>
      <w:snapToGrid w:val="0"/>
      <w:szCs w:val="20"/>
      <w:lang w:val="en-US" w:eastAsia="en-US"/>
    </w:rPr>
  </w:style>
  <w:style w:type="paragraph" w:styleId="aff4">
    <w:name w:val="Intense Quote"/>
    <w:basedOn w:val="a"/>
    <w:next w:val="a"/>
    <w:link w:val="aff5"/>
    <w:uiPriority w:val="30"/>
    <w:qFormat/>
    <w:rsid w:val="00E05BFE"/>
    <w:pPr>
      <w:widowControl w:val="0"/>
      <w:pBdr>
        <w:top w:val="single" w:sz="4" w:space="10" w:color="4F81BD"/>
        <w:left w:val="single" w:sz="4" w:space="10" w:color="4F81BD"/>
      </w:pBdr>
      <w:spacing w:after="0"/>
      <w:ind w:left="1296" w:right="1152"/>
      <w:jc w:val="both"/>
    </w:pPr>
    <w:rPr>
      <w:rFonts w:ascii="Calibri" w:eastAsia="Times New Roman" w:hAnsi="Calibri"/>
      <w:i/>
      <w:iCs/>
      <w:snapToGrid w:val="0"/>
      <w:color w:val="4F81BD"/>
      <w:szCs w:val="20"/>
      <w:lang w:val="en-US" w:eastAsia="en-US"/>
    </w:rPr>
  </w:style>
  <w:style w:type="character" w:customStyle="1" w:styleId="aff5">
    <w:name w:val="Выделенная цитата Знак"/>
    <w:basedOn w:val="a0"/>
    <w:link w:val="aff4"/>
    <w:uiPriority w:val="30"/>
    <w:rsid w:val="00E05BFE"/>
    <w:rPr>
      <w:rFonts w:ascii="Calibri" w:eastAsia="Times New Roman" w:hAnsi="Calibri"/>
      <w:i/>
      <w:iCs/>
      <w:snapToGrid w:val="0"/>
      <w:color w:val="4F81BD"/>
      <w:szCs w:val="20"/>
      <w:lang w:val="en-US" w:eastAsia="en-US"/>
    </w:rPr>
  </w:style>
  <w:style w:type="character" w:styleId="aff6">
    <w:name w:val="Subtle Emphasis"/>
    <w:uiPriority w:val="19"/>
    <w:qFormat/>
    <w:rsid w:val="00E05BFE"/>
    <w:rPr>
      <w:i/>
      <w:iCs/>
      <w:color w:val="943634"/>
    </w:rPr>
  </w:style>
  <w:style w:type="character" w:styleId="aff7">
    <w:name w:val="Intense Emphasis"/>
    <w:uiPriority w:val="21"/>
    <w:qFormat/>
    <w:rsid w:val="00E05BFE"/>
    <w:rPr>
      <w:b/>
      <w:bCs/>
      <w:caps/>
      <w:color w:val="243F60"/>
      <w:spacing w:val="10"/>
    </w:rPr>
  </w:style>
  <w:style w:type="character" w:styleId="aff8">
    <w:name w:val="Subtle Reference"/>
    <w:uiPriority w:val="31"/>
    <w:qFormat/>
    <w:rsid w:val="00E05BFE"/>
    <w:rPr>
      <w:b/>
      <w:bCs/>
      <w:color w:val="4F81BD"/>
    </w:rPr>
  </w:style>
  <w:style w:type="character" w:styleId="aff9">
    <w:name w:val="Intense Reference"/>
    <w:uiPriority w:val="32"/>
    <w:qFormat/>
    <w:rsid w:val="00E05BFE"/>
    <w:rPr>
      <w:b/>
      <w:bCs/>
      <w:i/>
      <w:iCs/>
      <w:caps/>
      <w:color w:val="4F81BD"/>
    </w:rPr>
  </w:style>
  <w:style w:type="character" w:styleId="affa">
    <w:name w:val="Book Title"/>
    <w:uiPriority w:val="33"/>
    <w:qFormat/>
    <w:rsid w:val="00E05BFE"/>
    <w:rPr>
      <w:b/>
      <w:bCs/>
      <w:i/>
      <w:iCs/>
      <w:spacing w:val="9"/>
    </w:rPr>
  </w:style>
  <w:style w:type="paragraph" w:styleId="affb">
    <w:name w:val="Normal (Web)"/>
    <w:basedOn w:val="a"/>
    <w:uiPriority w:val="99"/>
    <w:unhideWhenUsed/>
    <w:rsid w:val="00E05BFE"/>
    <w:pPr>
      <w:widowControl w:val="0"/>
      <w:spacing w:before="100" w:beforeAutospacing="1" w:after="100" w:afterAutospacing="1" w:line="240" w:lineRule="auto"/>
      <w:jc w:val="both"/>
    </w:pPr>
    <w:rPr>
      <w:rFonts w:eastAsia="Times New Roman"/>
      <w:snapToGrid w:val="0"/>
      <w:szCs w:val="24"/>
      <w:lang w:val="en-US" w:eastAsia="en-US"/>
    </w:rPr>
  </w:style>
  <w:style w:type="paragraph" w:customStyle="1" w:styleId="text">
    <w:name w:val="text"/>
    <w:basedOn w:val="a"/>
    <w:rsid w:val="00E05BFE"/>
    <w:pPr>
      <w:widowControl w:val="0"/>
      <w:spacing w:after="0" w:line="280" w:lineRule="exact"/>
      <w:ind w:left="1440" w:firstLine="720"/>
      <w:jc w:val="both"/>
    </w:pPr>
    <w:rPr>
      <w:rFonts w:ascii="Palatino Linotype" w:eastAsia="Times New Roman" w:hAnsi="Palatino Linotype"/>
      <w:snapToGrid w:val="0"/>
      <w:szCs w:val="20"/>
      <w:lang w:val="en-US" w:eastAsia="en-US"/>
    </w:rPr>
  </w:style>
  <w:style w:type="paragraph" w:customStyle="1" w:styleId="head-A">
    <w:name w:val="head-A"/>
    <w:basedOn w:val="a"/>
    <w:next w:val="text-no-para"/>
    <w:rsid w:val="00E05BFE"/>
    <w:pPr>
      <w:keepNext/>
      <w:widowControl w:val="0"/>
      <w:suppressAutoHyphens/>
      <w:spacing w:before="480" w:after="240" w:line="240" w:lineRule="auto"/>
      <w:jc w:val="both"/>
      <w:outlineLvl w:val="1"/>
    </w:pPr>
    <w:rPr>
      <w:rFonts w:ascii="Franklin Gothic Demi" w:eastAsia="Times New Roman" w:hAnsi="Franklin Gothic Demi"/>
      <w:snapToGrid w:val="0"/>
      <w:sz w:val="32"/>
      <w:szCs w:val="20"/>
      <w:lang w:val="en-US" w:eastAsia="en-US"/>
    </w:rPr>
  </w:style>
  <w:style w:type="paragraph" w:customStyle="1" w:styleId="text-no-para">
    <w:name w:val="text-no-para"/>
    <w:basedOn w:val="text"/>
    <w:next w:val="text"/>
    <w:rsid w:val="00E05BFE"/>
    <w:pPr>
      <w:ind w:firstLine="0"/>
    </w:pPr>
  </w:style>
  <w:style w:type="paragraph" w:customStyle="1" w:styleId="head-B">
    <w:name w:val="head-B"/>
    <w:basedOn w:val="text-no-para"/>
    <w:next w:val="text-no-para"/>
    <w:rsid w:val="00E05BFE"/>
    <w:pPr>
      <w:keepNext/>
      <w:suppressAutoHyphens/>
      <w:spacing w:before="360" w:after="120"/>
      <w:jc w:val="left"/>
      <w:outlineLvl w:val="2"/>
    </w:pPr>
    <w:rPr>
      <w:rFonts w:ascii="Franklin Gothic Demi" w:hAnsi="Franklin Gothic Demi"/>
      <w:i/>
    </w:rPr>
  </w:style>
  <w:style w:type="paragraph" w:customStyle="1" w:styleId="chap-start">
    <w:name w:val="chap-start"/>
    <w:basedOn w:val="text"/>
    <w:next w:val="text"/>
    <w:rsid w:val="00E05BFE"/>
    <w:pPr>
      <w:spacing w:before="480"/>
      <w:ind w:firstLine="0"/>
    </w:pPr>
  </w:style>
  <w:style w:type="paragraph" w:customStyle="1" w:styleId="chap-subtitle">
    <w:name w:val="chap-subtitle"/>
    <w:basedOn w:val="a"/>
    <w:next w:val="a"/>
    <w:rsid w:val="00E05BFE"/>
    <w:pPr>
      <w:widowControl w:val="0"/>
      <w:suppressAutoHyphens/>
      <w:spacing w:before="240" w:after="0" w:line="360" w:lineRule="auto"/>
      <w:jc w:val="center"/>
    </w:pPr>
    <w:rPr>
      <w:rFonts w:ascii="Times" w:eastAsia="Times New Roman" w:hAnsi="Times"/>
      <w:b/>
      <w:i/>
      <w:snapToGrid w:val="0"/>
      <w:sz w:val="28"/>
      <w:szCs w:val="20"/>
      <w:lang w:val="en-US" w:eastAsia="en-US"/>
    </w:rPr>
  </w:style>
  <w:style w:type="character" w:customStyle="1" w:styleId="16">
    <w:name w:val="Текст примечания Знак1"/>
    <w:basedOn w:val="a0"/>
    <w:uiPriority w:val="99"/>
    <w:semiHidden/>
    <w:rsid w:val="00E05BFE"/>
    <w:rPr>
      <w:rFonts w:ascii="Times New Roman" w:eastAsia="Times New Roman" w:hAnsi="Times New Roman" w:cs="Times New Roman"/>
      <w:snapToGrid w:val="0"/>
      <w:sz w:val="20"/>
      <w:szCs w:val="20"/>
      <w:lang w:val="en-US"/>
    </w:rPr>
  </w:style>
  <w:style w:type="character" w:customStyle="1" w:styleId="17">
    <w:name w:val="Тема примечания Знак1"/>
    <w:basedOn w:val="16"/>
    <w:uiPriority w:val="99"/>
    <w:semiHidden/>
    <w:rsid w:val="00E05BFE"/>
    <w:rPr>
      <w:rFonts w:ascii="Times New Roman" w:eastAsia="Times New Roman" w:hAnsi="Times New Roman" w:cs="Times New Roman"/>
      <w:b/>
      <w:bCs/>
      <w:snapToGrid w:val="0"/>
      <w:sz w:val="20"/>
      <w:szCs w:val="20"/>
      <w:lang w:val="en-US"/>
    </w:rPr>
  </w:style>
  <w:style w:type="paragraph" w:customStyle="1" w:styleId="Table">
    <w:name w:val="Table"/>
    <w:basedOn w:val="a"/>
    <w:qFormat/>
    <w:rsid w:val="00E05BFE"/>
    <w:pPr>
      <w:widowControl w:val="0"/>
      <w:spacing w:after="0" w:line="240" w:lineRule="auto"/>
      <w:jc w:val="both"/>
    </w:pPr>
    <w:rPr>
      <w:rFonts w:ascii="Calibri" w:eastAsia="Times New Roman" w:hAnsi="Calibri"/>
      <w:snapToGrid w:val="0"/>
      <w:sz w:val="20"/>
      <w:szCs w:val="20"/>
      <w:lang w:val="en-US" w:eastAsia="en-US"/>
    </w:rPr>
  </w:style>
  <w:style w:type="table" w:customStyle="1" w:styleId="27">
    <w:name w:val="Сетка таблицы2"/>
    <w:basedOn w:val="a1"/>
    <w:next w:val="af5"/>
    <w:uiPriority w:val="59"/>
    <w:rsid w:val="00E05BFE"/>
    <w:pPr>
      <w:spacing w:after="0" w:line="240" w:lineRule="auto"/>
    </w:pPr>
    <w:rPr>
      <w:rFonts w:ascii="Calibri" w:eastAsia="Times New Roman" w:hAnsi="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ize2">
    <w:name w:val="fontsize2"/>
    <w:basedOn w:val="a0"/>
    <w:rsid w:val="00E05BFE"/>
  </w:style>
  <w:style w:type="character" w:customStyle="1" w:styleId="nlmstring-name">
    <w:name w:val="nlm_string-name"/>
    <w:basedOn w:val="a0"/>
    <w:rsid w:val="00E05BFE"/>
  </w:style>
  <w:style w:type="paragraph" w:styleId="18">
    <w:name w:val="toc 1"/>
    <w:basedOn w:val="a"/>
    <w:next w:val="a"/>
    <w:autoRedefine/>
    <w:uiPriority w:val="39"/>
    <w:unhideWhenUsed/>
    <w:rsid w:val="00E05BFE"/>
    <w:pPr>
      <w:keepNext/>
      <w:widowControl w:val="0"/>
      <w:tabs>
        <w:tab w:val="right" w:leader="dot" w:pos="9350"/>
      </w:tabs>
      <w:spacing w:before="120" w:after="0"/>
      <w:jc w:val="both"/>
    </w:pPr>
    <w:rPr>
      <w:rFonts w:ascii="Calibri" w:eastAsia="Times New Roman" w:hAnsi="Calibri"/>
      <w:b/>
      <w:caps/>
      <w:snapToGrid w:val="0"/>
      <w:color w:val="943634"/>
      <w:sz w:val="28"/>
      <w:szCs w:val="20"/>
      <w:lang w:val="en-US" w:eastAsia="en-US"/>
    </w:rPr>
  </w:style>
  <w:style w:type="paragraph" w:styleId="28">
    <w:name w:val="toc 2"/>
    <w:basedOn w:val="a"/>
    <w:next w:val="a"/>
    <w:autoRedefine/>
    <w:uiPriority w:val="39"/>
    <w:unhideWhenUsed/>
    <w:rsid w:val="00E05BFE"/>
    <w:pPr>
      <w:widowControl w:val="0"/>
      <w:spacing w:after="0"/>
      <w:jc w:val="both"/>
    </w:pPr>
    <w:rPr>
      <w:rFonts w:ascii="Calibri" w:eastAsia="Times New Roman" w:hAnsi="Calibri"/>
      <w:b/>
      <w:snapToGrid w:val="0"/>
      <w:szCs w:val="20"/>
      <w:lang w:val="en-US" w:eastAsia="en-US"/>
    </w:rPr>
  </w:style>
  <w:style w:type="paragraph" w:styleId="32">
    <w:name w:val="toc 3"/>
    <w:basedOn w:val="a"/>
    <w:next w:val="a"/>
    <w:autoRedefine/>
    <w:uiPriority w:val="39"/>
    <w:unhideWhenUsed/>
    <w:rsid w:val="00E05BFE"/>
    <w:pPr>
      <w:widowControl w:val="0"/>
      <w:spacing w:after="0"/>
      <w:ind w:left="480"/>
      <w:jc w:val="both"/>
    </w:pPr>
    <w:rPr>
      <w:rFonts w:ascii="Calibri" w:eastAsia="Times New Roman" w:hAnsi="Calibri"/>
      <w:snapToGrid w:val="0"/>
      <w:szCs w:val="20"/>
      <w:lang w:val="en-US" w:eastAsia="en-US"/>
    </w:rPr>
  </w:style>
  <w:style w:type="character" w:customStyle="1" w:styleId="InternalLink">
    <w:name w:val="InternalLink"/>
    <w:basedOn w:val="a0"/>
    <w:uiPriority w:val="1"/>
    <w:rsid w:val="00E05BFE"/>
    <w:rPr>
      <w:i/>
      <w:color w:val="943634"/>
    </w:rPr>
  </w:style>
  <w:style w:type="paragraph" w:customStyle="1" w:styleId="IGC2017-Author">
    <w:name w:val="IGC2017-Author"/>
    <w:basedOn w:val="a"/>
    <w:autoRedefine/>
    <w:uiPriority w:val="1"/>
    <w:qFormat/>
    <w:rsid w:val="00E05BFE"/>
    <w:pPr>
      <w:widowControl w:val="0"/>
      <w:spacing w:after="0" w:line="240" w:lineRule="auto"/>
      <w:jc w:val="both"/>
    </w:pPr>
    <w:rPr>
      <w:rFonts w:ascii="Arial" w:eastAsia="Times New Roman" w:hAnsi="Arial" w:cs="Arial"/>
      <w:b/>
      <w:snapToGrid w:val="0"/>
      <w:sz w:val="24"/>
      <w:szCs w:val="24"/>
      <w:lang w:val="en-US" w:eastAsia="en-US"/>
    </w:rPr>
  </w:style>
  <w:style w:type="paragraph" w:customStyle="1" w:styleId="IGC2017-EmailID">
    <w:name w:val="IGC2017-Email ID"/>
    <w:basedOn w:val="a"/>
    <w:next w:val="a"/>
    <w:autoRedefine/>
    <w:uiPriority w:val="3"/>
    <w:qFormat/>
    <w:rsid w:val="00E05BFE"/>
    <w:pPr>
      <w:widowControl w:val="0"/>
      <w:spacing w:after="180" w:line="240" w:lineRule="auto"/>
      <w:jc w:val="both"/>
    </w:pPr>
    <w:rPr>
      <w:rFonts w:ascii="Arial" w:eastAsia="Times New Roman" w:hAnsi="Arial" w:cs="Arial"/>
      <w:iCs/>
      <w:snapToGrid w:val="0"/>
      <w:sz w:val="18"/>
      <w:szCs w:val="18"/>
      <w:lang w:val="en-US" w:eastAsia="en-US"/>
    </w:rPr>
  </w:style>
  <w:style w:type="paragraph" w:customStyle="1" w:styleId="IGC2017-Affiliation">
    <w:name w:val="IGC2017-Affiliation"/>
    <w:basedOn w:val="a"/>
    <w:next w:val="IGC2017-EmailID"/>
    <w:autoRedefine/>
    <w:uiPriority w:val="2"/>
    <w:qFormat/>
    <w:rsid w:val="00E05BFE"/>
    <w:pPr>
      <w:widowControl w:val="0"/>
      <w:spacing w:after="0" w:line="240" w:lineRule="auto"/>
      <w:jc w:val="both"/>
    </w:pPr>
    <w:rPr>
      <w:rFonts w:eastAsia="Times New Roman"/>
      <w:i/>
      <w:iCs/>
      <w:snapToGrid w:val="0"/>
      <w:sz w:val="16"/>
      <w:szCs w:val="16"/>
      <w:lang w:val="en-US" w:eastAsia="en-US"/>
    </w:rPr>
  </w:style>
  <w:style w:type="paragraph" w:customStyle="1" w:styleId="IGC2017abstractCaptions">
    <w:name w:val="IGC2017 abstract Captions"/>
    <w:basedOn w:val="a"/>
    <w:uiPriority w:val="29"/>
    <w:rsid w:val="00E05BFE"/>
    <w:pPr>
      <w:widowControl w:val="0"/>
      <w:spacing w:before="40" w:after="40" w:line="240" w:lineRule="auto"/>
      <w:jc w:val="center"/>
    </w:pPr>
    <w:rPr>
      <w:rFonts w:eastAsia="Times New Roman"/>
      <w:snapToGrid w:val="0"/>
      <w:sz w:val="16"/>
      <w:szCs w:val="16"/>
      <w:lang w:val="en-US" w:eastAsia="en-US"/>
    </w:rPr>
  </w:style>
  <w:style w:type="character" w:customStyle="1" w:styleId="A00">
    <w:name w:val="A0"/>
    <w:uiPriority w:val="99"/>
    <w:rsid w:val="00E05BFE"/>
    <w:rPr>
      <w:b/>
      <w:bCs/>
      <w:color w:val="000000"/>
      <w:sz w:val="18"/>
      <w:szCs w:val="18"/>
    </w:rPr>
  </w:style>
  <w:style w:type="paragraph" w:customStyle="1" w:styleId="Author">
    <w:name w:val="Author"/>
    <w:autoRedefine/>
    <w:rsid w:val="00E05BFE"/>
    <w:pPr>
      <w:snapToGrid w:val="0"/>
      <w:spacing w:after="120" w:line="240" w:lineRule="auto"/>
      <w:jc w:val="center"/>
    </w:pPr>
    <w:rPr>
      <w:rFonts w:eastAsia="PMingLiU"/>
      <w:kern w:val="2"/>
      <w:sz w:val="24"/>
      <w:szCs w:val="24"/>
      <w:lang w:val="en-GB" w:eastAsia="zh-TW"/>
    </w:rPr>
  </w:style>
  <w:style w:type="paragraph" w:styleId="affc">
    <w:name w:val="Body Text"/>
    <w:basedOn w:val="a"/>
    <w:link w:val="affd"/>
    <w:rsid w:val="00E05BFE"/>
    <w:pPr>
      <w:widowControl w:val="0"/>
      <w:spacing w:after="0" w:line="240" w:lineRule="auto"/>
      <w:jc w:val="both"/>
    </w:pPr>
    <w:rPr>
      <w:rFonts w:eastAsia="Times New Roman"/>
      <w:snapToGrid w:val="0"/>
      <w:szCs w:val="20"/>
      <w:lang w:val="en-US" w:eastAsia="en-US"/>
    </w:rPr>
  </w:style>
  <w:style w:type="character" w:customStyle="1" w:styleId="affd">
    <w:name w:val="Основной текст Знак"/>
    <w:basedOn w:val="a0"/>
    <w:link w:val="affc"/>
    <w:rsid w:val="00E05BFE"/>
    <w:rPr>
      <w:rFonts w:eastAsia="Times New Roman"/>
      <w:snapToGrid w:val="0"/>
      <w:szCs w:val="20"/>
      <w:lang w:val="en-US" w:eastAsia="en-US"/>
    </w:rPr>
  </w:style>
  <w:style w:type="paragraph" w:customStyle="1" w:styleId="IGC2017-Title">
    <w:name w:val="IGC2017-Title"/>
    <w:basedOn w:val="a"/>
    <w:autoRedefine/>
    <w:qFormat/>
    <w:rsid w:val="00E05BFE"/>
    <w:pPr>
      <w:widowControl w:val="0"/>
      <w:spacing w:before="220" w:after="240" w:line="240" w:lineRule="auto"/>
      <w:jc w:val="center"/>
    </w:pPr>
    <w:rPr>
      <w:rFonts w:ascii="Arial" w:eastAsia="Times New Roman" w:hAnsi="Arial" w:cs="Arial"/>
      <w:b/>
      <w:snapToGrid w:val="0"/>
      <w:sz w:val="28"/>
      <w:szCs w:val="24"/>
      <w:lang w:val="en-US" w:eastAsia="en-US"/>
    </w:rPr>
  </w:style>
  <w:style w:type="paragraph" w:customStyle="1" w:styleId="Keywords">
    <w:name w:val="Keywords"/>
    <w:basedOn w:val="a"/>
    <w:uiPriority w:val="29"/>
    <w:qFormat/>
    <w:rsid w:val="00E05BFE"/>
    <w:pPr>
      <w:widowControl w:val="0"/>
      <w:spacing w:after="120" w:line="240" w:lineRule="auto"/>
      <w:jc w:val="both"/>
    </w:pPr>
    <w:rPr>
      <w:rFonts w:eastAsia="Times New Roman"/>
      <w:i/>
      <w:snapToGrid w:val="0"/>
      <w:sz w:val="18"/>
      <w:szCs w:val="16"/>
      <w:lang w:val="en-US" w:eastAsia="en-US"/>
    </w:rPr>
  </w:style>
  <w:style w:type="paragraph" w:customStyle="1" w:styleId="IGC2017-Abstractbodytext">
    <w:name w:val="IGC2017-Abstract body text"/>
    <w:basedOn w:val="a"/>
    <w:uiPriority w:val="29"/>
    <w:qFormat/>
    <w:rsid w:val="00E05BFE"/>
    <w:pPr>
      <w:widowControl w:val="0"/>
      <w:spacing w:after="120" w:line="240" w:lineRule="auto"/>
      <w:jc w:val="both"/>
    </w:pPr>
    <w:rPr>
      <w:rFonts w:eastAsia="Times New Roman"/>
      <w:snapToGrid w:val="0"/>
      <w:sz w:val="18"/>
      <w:szCs w:val="16"/>
      <w:lang w:val="en-US" w:eastAsia="en-US"/>
    </w:rPr>
  </w:style>
  <w:style w:type="paragraph" w:customStyle="1" w:styleId="Autor1">
    <w:name w:val="Autor1"/>
    <w:basedOn w:val="a"/>
    <w:autoRedefine/>
    <w:rsid w:val="00E05BFE"/>
    <w:pPr>
      <w:widowControl w:val="0"/>
      <w:spacing w:after="0" w:line="240" w:lineRule="auto"/>
      <w:jc w:val="center"/>
    </w:pPr>
    <w:rPr>
      <w:rFonts w:eastAsia="Times New Roman"/>
      <w:snapToGrid w:val="0"/>
      <w:szCs w:val="18"/>
      <w:lang w:val="en-US" w:eastAsia="pt-BR"/>
    </w:rPr>
  </w:style>
  <w:style w:type="paragraph" w:customStyle="1" w:styleId="EndNoteBibliographyTitle">
    <w:name w:val="EndNote Bibliography Title"/>
    <w:basedOn w:val="a"/>
    <w:link w:val="EndNoteBibliographyTitleChar"/>
    <w:rsid w:val="00E05BFE"/>
    <w:pPr>
      <w:widowControl w:val="0"/>
      <w:spacing w:after="0" w:line="240" w:lineRule="auto"/>
      <w:jc w:val="center"/>
    </w:pPr>
    <w:rPr>
      <w:rFonts w:eastAsia="Calibri"/>
      <w:noProof/>
      <w:snapToGrid w:val="0"/>
      <w:szCs w:val="20"/>
      <w:lang w:val="en-US" w:eastAsia="en-US"/>
    </w:rPr>
  </w:style>
  <w:style w:type="character" w:customStyle="1" w:styleId="EndNoteBibliographyTitleChar">
    <w:name w:val="EndNote Bibliography Title Char"/>
    <w:basedOn w:val="af7"/>
    <w:link w:val="EndNoteBibliographyTitle"/>
    <w:rsid w:val="00E05BFE"/>
    <w:rPr>
      <w:rFonts w:eastAsia="Calibri"/>
      <w:noProof/>
      <w:snapToGrid w:val="0"/>
      <w:szCs w:val="20"/>
      <w:lang w:val="en-US" w:eastAsia="en-US"/>
    </w:rPr>
  </w:style>
  <w:style w:type="paragraph" w:customStyle="1" w:styleId="EndNoteBibliography">
    <w:name w:val="EndNote Bibliography"/>
    <w:basedOn w:val="a"/>
    <w:link w:val="EndNoteBibliographyChar"/>
    <w:rsid w:val="00E05BFE"/>
    <w:pPr>
      <w:widowControl w:val="0"/>
      <w:spacing w:after="0" w:line="240" w:lineRule="auto"/>
      <w:jc w:val="both"/>
    </w:pPr>
    <w:rPr>
      <w:rFonts w:eastAsia="Calibri"/>
      <w:noProof/>
      <w:snapToGrid w:val="0"/>
      <w:szCs w:val="20"/>
      <w:lang w:val="en-US" w:eastAsia="en-US"/>
    </w:rPr>
  </w:style>
  <w:style w:type="character" w:customStyle="1" w:styleId="EndNoteBibliographyChar">
    <w:name w:val="EndNote Bibliography Char"/>
    <w:basedOn w:val="af7"/>
    <w:link w:val="EndNoteBibliography"/>
    <w:rsid w:val="00E05BFE"/>
    <w:rPr>
      <w:rFonts w:eastAsia="Calibri"/>
      <w:noProof/>
      <w:snapToGrid w:val="0"/>
      <w:szCs w:val="20"/>
      <w:lang w:val="en-US" w:eastAsia="en-US"/>
    </w:rPr>
  </w:style>
  <w:style w:type="character" w:styleId="affe">
    <w:name w:val="Placeholder Text"/>
    <w:basedOn w:val="a0"/>
    <w:uiPriority w:val="99"/>
    <w:semiHidden/>
    <w:rsid w:val="00E05BFE"/>
    <w:rPr>
      <w:color w:val="808080"/>
    </w:rPr>
  </w:style>
  <w:style w:type="paragraph" w:styleId="afff">
    <w:name w:val="TOC Heading"/>
    <w:basedOn w:val="1"/>
    <w:next w:val="a"/>
    <w:uiPriority w:val="39"/>
    <w:semiHidden/>
    <w:unhideWhenUsed/>
    <w:qFormat/>
    <w:rsid w:val="00E05BFE"/>
    <w:pPr>
      <w:widowControl/>
      <w:pBdr>
        <w:top w:val="single" w:sz="24" w:space="0" w:color="943634"/>
        <w:left w:val="single" w:sz="24" w:space="0" w:color="943634"/>
        <w:bottom w:val="single" w:sz="24" w:space="0" w:color="943634"/>
        <w:right w:val="single" w:sz="24" w:space="0" w:color="943634"/>
      </w:pBdr>
      <w:shd w:val="clear" w:color="auto" w:fill="943634"/>
      <w:suppressAutoHyphens w:val="0"/>
      <w:spacing w:after="480" w:line="276" w:lineRule="auto"/>
      <w:ind w:left="270" w:hanging="270"/>
      <w:outlineLvl w:val="9"/>
    </w:pPr>
    <w:rPr>
      <w:rFonts w:ascii="Calibri" w:hAnsi="Calibri"/>
      <w:bCs/>
      <w:snapToGrid/>
      <w:color w:val="FFFFFF"/>
      <w:spacing w:val="15"/>
      <w:szCs w:val="22"/>
    </w:rPr>
  </w:style>
  <w:style w:type="paragraph" w:styleId="afff0">
    <w:name w:val="Revision"/>
    <w:hidden/>
    <w:uiPriority w:val="99"/>
    <w:semiHidden/>
    <w:rsid w:val="00E05BFE"/>
    <w:pPr>
      <w:spacing w:after="0" w:line="240" w:lineRule="auto"/>
    </w:pPr>
    <w:rPr>
      <w:rFonts w:ascii="Calibri" w:eastAsia="Times New Roman" w:hAnsi="Calibri"/>
      <w:sz w:val="24"/>
      <w:szCs w:val="20"/>
      <w:lang w:val="en-US" w:eastAsia="en-US"/>
    </w:rPr>
  </w:style>
  <w:style w:type="table" w:customStyle="1" w:styleId="MediumShading1-Accent11">
    <w:name w:val="Medium Shading 1 - Accent 11"/>
    <w:basedOn w:val="a1"/>
    <w:uiPriority w:val="63"/>
    <w:rsid w:val="00E05BFE"/>
    <w:pPr>
      <w:spacing w:after="0" w:line="240" w:lineRule="auto"/>
    </w:pPr>
    <w:rPr>
      <w:rFonts w:ascii="Calibri" w:eastAsia="Times New Roman" w:hAnsi="Calibri"/>
      <w:sz w:val="20"/>
      <w:szCs w:val="20"/>
      <w:lang w:val="en-IN" w:eastAsia="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a1"/>
    <w:uiPriority w:val="60"/>
    <w:rsid w:val="00E05BFE"/>
    <w:pPr>
      <w:spacing w:after="0" w:line="240" w:lineRule="auto"/>
    </w:pPr>
    <w:rPr>
      <w:rFonts w:ascii="Calibri" w:eastAsia="Times New Roman" w:hAnsi="Calibri"/>
      <w:color w:val="365F91"/>
      <w:sz w:val="20"/>
      <w:szCs w:val="20"/>
      <w:lang w:val="en-IN"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ff1">
    <w:name w:val="FollowedHyperlink"/>
    <w:basedOn w:val="a0"/>
    <w:uiPriority w:val="99"/>
    <w:semiHidden/>
    <w:unhideWhenUsed/>
    <w:rsid w:val="00E05BFE"/>
    <w:rPr>
      <w:color w:val="800080"/>
      <w:u w:val="single"/>
    </w:rPr>
  </w:style>
  <w:style w:type="table" w:customStyle="1" w:styleId="LightList-Accent11">
    <w:name w:val="Light List - Accent 11"/>
    <w:basedOn w:val="a1"/>
    <w:uiPriority w:val="61"/>
    <w:rsid w:val="00E05BFE"/>
    <w:pPr>
      <w:spacing w:after="0" w:line="240" w:lineRule="auto"/>
    </w:pPr>
    <w:rPr>
      <w:rFonts w:ascii="Calibri" w:eastAsia="Times New Roman" w:hAnsi="Calibri"/>
      <w:sz w:val="20"/>
      <w:szCs w:val="20"/>
      <w:lang w:val="en-IN"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ff2">
    <w:name w:val="line number"/>
    <w:basedOn w:val="a0"/>
    <w:uiPriority w:val="99"/>
    <w:semiHidden/>
    <w:unhideWhenUsed/>
    <w:rsid w:val="00E05BFE"/>
  </w:style>
  <w:style w:type="character" w:styleId="afff3">
    <w:name w:val="endnote reference"/>
    <w:basedOn w:val="a0"/>
    <w:uiPriority w:val="99"/>
    <w:semiHidden/>
    <w:unhideWhenUsed/>
    <w:rsid w:val="00E05BFE"/>
    <w:rPr>
      <w:vertAlign w:val="superscript"/>
    </w:rPr>
  </w:style>
  <w:style w:type="numbering" w:customStyle="1" w:styleId="41">
    <w:name w:val="Нет списка4"/>
    <w:next w:val="a2"/>
    <w:uiPriority w:val="99"/>
    <w:semiHidden/>
    <w:unhideWhenUsed/>
    <w:rsid w:val="00E05BFE"/>
  </w:style>
  <w:style w:type="numbering" w:customStyle="1" w:styleId="51">
    <w:name w:val="Нет списка5"/>
    <w:next w:val="a2"/>
    <w:uiPriority w:val="99"/>
    <w:semiHidden/>
    <w:unhideWhenUsed/>
    <w:rsid w:val="00E05BFE"/>
  </w:style>
  <w:style w:type="table" w:customStyle="1" w:styleId="33">
    <w:name w:val="Сетка таблицы3"/>
    <w:basedOn w:val="a1"/>
    <w:next w:val="af5"/>
    <w:uiPriority w:val="59"/>
    <w:rsid w:val="00E05BFE"/>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E05BFE"/>
  </w:style>
  <w:style w:type="character" w:customStyle="1" w:styleId="contrib">
    <w:name w:val="contrib"/>
    <w:basedOn w:val="a0"/>
    <w:rsid w:val="00E05BFE"/>
  </w:style>
  <w:style w:type="character" w:customStyle="1" w:styleId="separator">
    <w:name w:val="separator"/>
    <w:basedOn w:val="a0"/>
    <w:rsid w:val="00E05BFE"/>
  </w:style>
  <w:style w:type="paragraph" w:customStyle="1" w:styleId="Tablecaption">
    <w:name w:val="Table caption"/>
    <w:basedOn w:val="a"/>
    <w:next w:val="a"/>
    <w:rsid w:val="00E05BFE"/>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character" w:customStyle="1" w:styleId="FootnoteCharacters">
    <w:name w:val="Footnote Characters"/>
    <w:basedOn w:val="a0"/>
    <w:semiHidden/>
    <w:qFormat/>
    <w:rsid w:val="00E05BFE"/>
    <w:rPr>
      <w:vertAlign w:val="superscript"/>
    </w:rPr>
  </w:style>
  <w:style w:type="character" w:customStyle="1" w:styleId="InternetLink">
    <w:name w:val="Internet Link"/>
    <w:basedOn w:val="a0"/>
    <w:rsid w:val="00E05BFE"/>
    <w:rPr>
      <w:color w:val="0000FF"/>
      <w:u w:val="single"/>
    </w:rPr>
  </w:style>
  <w:style w:type="paragraph" w:customStyle="1" w:styleId="afff4">
    <w:name w:val="Литература"/>
    <w:basedOn w:val="a"/>
    <w:link w:val="afff5"/>
    <w:qFormat/>
    <w:rsid w:val="00E05BFE"/>
    <w:pPr>
      <w:widowControl w:val="0"/>
      <w:spacing w:after="120" w:line="240" w:lineRule="auto"/>
      <w:jc w:val="both"/>
    </w:pPr>
    <w:rPr>
      <w:rFonts w:eastAsia="Calibri"/>
      <w:snapToGrid w:val="0"/>
      <w:color w:val="000000"/>
      <w:sz w:val="20"/>
      <w:szCs w:val="20"/>
      <w:lang w:val="en-US" w:eastAsia="en-US" w:bidi="en-US"/>
    </w:rPr>
  </w:style>
  <w:style w:type="character" w:customStyle="1" w:styleId="afff5">
    <w:name w:val="Литература Знак"/>
    <w:basedOn w:val="a0"/>
    <w:link w:val="afff4"/>
    <w:rsid w:val="00E05BFE"/>
    <w:rPr>
      <w:rFonts w:eastAsia="Calibri"/>
      <w:snapToGrid w:val="0"/>
      <w:color w:val="000000"/>
      <w:sz w:val="20"/>
      <w:szCs w:val="20"/>
      <w:lang w:val="en-US" w:eastAsia="en-US" w:bidi="en-US"/>
    </w:rPr>
  </w:style>
  <w:style w:type="character" w:customStyle="1" w:styleId="af0">
    <w:name w:val="Название объекта Знак"/>
    <w:basedOn w:val="a0"/>
    <w:link w:val="af"/>
    <w:rsid w:val="00E05BFE"/>
    <w:rPr>
      <w:rFonts w:eastAsia="Times New Roman"/>
      <w:snapToGrid w:val="0"/>
      <w:sz w:val="20"/>
      <w:szCs w:val="24"/>
      <w:lang w:val="en-US" w:eastAsia="en-US"/>
    </w:rPr>
  </w:style>
  <w:style w:type="paragraph" w:styleId="af1">
    <w:name w:val="Title"/>
    <w:basedOn w:val="a"/>
    <w:next w:val="a"/>
    <w:link w:val="19"/>
    <w:uiPriority w:val="10"/>
    <w:qFormat/>
    <w:rsid w:val="00E05B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9">
    <w:name w:val="Название Знак1"/>
    <w:basedOn w:val="a0"/>
    <w:link w:val="af1"/>
    <w:uiPriority w:val="10"/>
    <w:rsid w:val="00E05BFE"/>
    <w:rPr>
      <w:rFonts w:asciiTheme="majorHAnsi" w:eastAsiaTheme="majorEastAsia" w:hAnsiTheme="majorHAnsi" w:cstheme="majorBidi"/>
      <w:color w:val="17365D" w:themeColor="text2" w:themeShade="BF"/>
      <w:spacing w:val="5"/>
      <w:kern w:val="28"/>
      <w:sz w:val="52"/>
      <w:szCs w:val="52"/>
    </w:rPr>
  </w:style>
  <w:style w:type="character" w:styleId="afff6">
    <w:name w:val="Hyperlink"/>
    <w:basedOn w:val="a0"/>
    <w:uiPriority w:val="99"/>
    <w:semiHidden/>
    <w:unhideWhenUsed/>
    <w:rsid w:val="00E05B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2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qFormat="1"/>
    <w:lsdException w:name="caption" w:uiPriority="0" w:qFormat="1"/>
    <w:lsdException w:name="footnote reference" w:uiPriority="0"/>
    <w:lsdException w:name="annotation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E05BFE"/>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
    <w:next w:val="a"/>
    <w:link w:val="20"/>
    <w:qFormat/>
    <w:rsid w:val="00E05BFE"/>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E05BFE"/>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
    <w:next w:val="a"/>
    <w:link w:val="40"/>
    <w:uiPriority w:val="29"/>
    <w:unhideWhenUsed/>
    <w:qFormat/>
    <w:rsid w:val="00E05BFE"/>
    <w:pPr>
      <w:keepNext/>
      <w:widowControl w:val="0"/>
      <w:spacing w:before="300" w:after="60"/>
      <w:jc w:val="both"/>
      <w:outlineLvl w:val="3"/>
    </w:pPr>
    <w:rPr>
      <w:rFonts w:ascii="Calibri" w:eastAsia="Times New Roman" w:hAnsi="Calibri"/>
      <w:b/>
      <w:snapToGrid w:val="0"/>
      <w:color w:val="943634"/>
      <w:spacing w:val="10"/>
      <w:szCs w:val="24"/>
      <w:lang w:val="en-US" w:eastAsia="en-US"/>
    </w:rPr>
  </w:style>
  <w:style w:type="paragraph" w:styleId="5">
    <w:name w:val="heading 5"/>
    <w:basedOn w:val="a"/>
    <w:next w:val="a"/>
    <w:link w:val="50"/>
    <w:uiPriority w:val="9"/>
    <w:unhideWhenUsed/>
    <w:qFormat/>
    <w:rsid w:val="00E05BFE"/>
    <w:pPr>
      <w:widowControl w:val="0"/>
      <w:pBdr>
        <w:bottom w:val="single" w:sz="6" w:space="1" w:color="4F81BD"/>
      </w:pBdr>
      <w:spacing w:before="300" w:after="0"/>
      <w:jc w:val="both"/>
      <w:outlineLvl w:val="4"/>
    </w:pPr>
    <w:rPr>
      <w:rFonts w:ascii="Calibri" w:eastAsia="Times New Roman" w:hAnsi="Calibri"/>
      <w:caps/>
      <w:snapToGrid w:val="0"/>
      <w:color w:val="365F91"/>
      <w:spacing w:val="10"/>
      <w:szCs w:val="24"/>
      <w:lang w:val="en-US" w:eastAsia="en-US"/>
    </w:rPr>
  </w:style>
  <w:style w:type="paragraph" w:styleId="6">
    <w:name w:val="heading 6"/>
    <w:basedOn w:val="a"/>
    <w:next w:val="a"/>
    <w:link w:val="60"/>
    <w:uiPriority w:val="9"/>
    <w:semiHidden/>
    <w:unhideWhenUsed/>
    <w:qFormat/>
    <w:rsid w:val="00E05BFE"/>
    <w:pPr>
      <w:widowControl w:val="0"/>
      <w:pBdr>
        <w:bottom w:val="dotted" w:sz="6" w:space="1" w:color="4F81BD"/>
      </w:pBdr>
      <w:spacing w:before="300" w:after="0"/>
      <w:jc w:val="both"/>
      <w:outlineLvl w:val="5"/>
    </w:pPr>
    <w:rPr>
      <w:rFonts w:ascii="Calibri" w:eastAsia="Times New Roman" w:hAnsi="Calibri"/>
      <w:caps/>
      <w:snapToGrid w:val="0"/>
      <w:color w:val="365F91"/>
      <w:spacing w:val="10"/>
      <w:szCs w:val="24"/>
      <w:lang w:val="en-US" w:eastAsia="en-US"/>
    </w:rPr>
  </w:style>
  <w:style w:type="paragraph" w:styleId="7">
    <w:name w:val="heading 7"/>
    <w:basedOn w:val="a"/>
    <w:next w:val="a"/>
    <w:link w:val="70"/>
    <w:uiPriority w:val="9"/>
    <w:semiHidden/>
    <w:unhideWhenUsed/>
    <w:qFormat/>
    <w:rsid w:val="00E05BFE"/>
    <w:pPr>
      <w:widowControl w:val="0"/>
      <w:spacing w:before="300" w:after="0"/>
      <w:jc w:val="both"/>
      <w:outlineLvl w:val="6"/>
    </w:pPr>
    <w:rPr>
      <w:rFonts w:ascii="Calibri" w:eastAsia="Times New Roman" w:hAnsi="Calibri"/>
      <w:caps/>
      <w:snapToGrid w:val="0"/>
      <w:color w:val="365F91"/>
      <w:spacing w:val="10"/>
      <w:szCs w:val="24"/>
      <w:lang w:val="en-US" w:eastAsia="en-US"/>
    </w:rPr>
  </w:style>
  <w:style w:type="paragraph" w:styleId="8">
    <w:name w:val="heading 8"/>
    <w:basedOn w:val="a"/>
    <w:next w:val="a"/>
    <w:link w:val="80"/>
    <w:uiPriority w:val="9"/>
    <w:semiHidden/>
    <w:unhideWhenUsed/>
    <w:qFormat/>
    <w:rsid w:val="00E05BFE"/>
    <w:pPr>
      <w:widowControl w:val="0"/>
      <w:spacing w:before="300" w:after="0"/>
      <w:jc w:val="both"/>
      <w:outlineLvl w:val="7"/>
    </w:pPr>
    <w:rPr>
      <w:rFonts w:ascii="Calibri" w:eastAsia="Times New Roman" w:hAnsi="Calibri"/>
      <w:caps/>
      <w:snapToGrid w:val="0"/>
      <w:spacing w:val="10"/>
      <w:sz w:val="18"/>
      <w:szCs w:val="18"/>
      <w:lang w:val="en-US" w:eastAsia="en-US"/>
    </w:rPr>
  </w:style>
  <w:style w:type="paragraph" w:styleId="9">
    <w:name w:val="heading 9"/>
    <w:basedOn w:val="a"/>
    <w:next w:val="a"/>
    <w:link w:val="90"/>
    <w:uiPriority w:val="9"/>
    <w:semiHidden/>
    <w:unhideWhenUsed/>
    <w:qFormat/>
    <w:rsid w:val="00E05BFE"/>
    <w:pPr>
      <w:widowControl w:val="0"/>
      <w:spacing w:before="300" w:after="0"/>
      <w:jc w:val="both"/>
      <w:outlineLvl w:val="8"/>
    </w:pPr>
    <w:rPr>
      <w:rFonts w:ascii="Calibri" w:eastAsia="Times New Roman" w:hAnsi="Calibri"/>
      <w:i/>
      <w:caps/>
      <w:snapToGrid w:val="0"/>
      <w:spacing w:val="10"/>
      <w:sz w:val="18"/>
      <w:szCs w:val="1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qFormat/>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E05BFE"/>
    <w:rPr>
      <w:rFonts w:eastAsia="MS Mincho"/>
      <w:b/>
      <w:caps/>
      <w:snapToGrid w:val="0"/>
      <w:szCs w:val="24"/>
      <w:lang w:val="en-US" w:eastAsia="ja-JP" w:bidi="en-US"/>
    </w:rPr>
  </w:style>
  <w:style w:type="character" w:customStyle="1" w:styleId="20">
    <w:name w:val="Заголовок 2 Знак"/>
    <w:basedOn w:val="a0"/>
    <w:link w:val="2"/>
    <w:rsid w:val="00E05BFE"/>
    <w:rPr>
      <w:rFonts w:eastAsia="Times New Roman"/>
      <w:b/>
      <w:i/>
      <w:snapToGrid w:val="0"/>
      <w:szCs w:val="24"/>
      <w:lang w:val="en-US" w:eastAsia="en-US"/>
    </w:rPr>
  </w:style>
  <w:style w:type="character" w:customStyle="1" w:styleId="30">
    <w:name w:val="Заголовок 3 Знак"/>
    <w:basedOn w:val="a0"/>
    <w:link w:val="3"/>
    <w:rsid w:val="00E05BFE"/>
    <w:rPr>
      <w:rFonts w:eastAsia="Times New Roman"/>
      <w:i/>
      <w:snapToGrid w:val="0"/>
      <w:szCs w:val="24"/>
      <w:lang w:val="en-US" w:eastAsia="en-US"/>
    </w:rPr>
  </w:style>
  <w:style w:type="character" w:customStyle="1" w:styleId="40">
    <w:name w:val="Заголовок 4 Знак"/>
    <w:basedOn w:val="a0"/>
    <w:link w:val="4"/>
    <w:uiPriority w:val="29"/>
    <w:rsid w:val="00E05BFE"/>
    <w:rPr>
      <w:rFonts w:ascii="Calibri" w:eastAsia="Times New Roman" w:hAnsi="Calibri"/>
      <w:b/>
      <w:snapToGrid w:val="0"/>
      <w:color w:val="943634"/>
      <w:spacing w:val="10"/>
      <w:szCs w:val="24"/>
      <w:lang w:val="en-US" w:eastAsia="en-US"/>
    </w:rPr>
  </w:style>
  <w:style w:type="character" w:customStyle="1" w:styleId="50">
    <w:name w:val="Заголовок 5 Знак"/>
    <w:basedOn w:val="a0"/>
    <w:link w:val="5"/>
    <w:uiPriority w:val="9"/>
    <w:rsid w:val="00E05BFE"/>
    <w:rPr>
      <w:rFonts w:ascii="Calibri" w:eastAsia="Times New Roman" w:hAnsi="Calibri"/>
      <w:caps/>
      <w:snapToGrid w:val="0"/>
      <w:color w:val="365F91"/>
      <w:spacing w:val="10"/>
      <w:szCs w:val="24"/>
      <w:lang w:val="en-US" w:eastAsia="en-US"/>
    </w:rPr>
  </w:style>
  <w:style w:type="character" w:customStyle="1" w:styleId="60">
    <w:name w:val="Заголовок 6 Знак"/>
    <w:basedOn w:val="a0"/>
    <w:link w:val="6"/>
    <w:uiPriority w:val="9"/>
    <w:semiHidden/>
    <w:rsid w:val="00E05BFE"/>
    <w:rPr>
      <w:rFonts w:ascii="Calibri" w:eastAsia="Times New Roman" w:hAnsi="Calibri"/>
      <w:caps/>
      <w:snapToGrid w:val="0"/>
      <w:color w:val="365F91"/>
      <w:spacing w:val="10"/>
      <w:szCs w:val="24"/>
      <w:lang w:val="en-US" w:eastAsia="en-US"/>
    </w:rPr>
  </w:style>
  <w:style w:type="character" w:customStyle="1" w:styleId="70">
    <w:name w:val="Заголовок 7 Знак"/>
    <w:basedOn w:val="a0"/>
    <w:link w:val="7"/>
    <w:uiPriority w:val="9"/>
    <w:semiHidden/>
    <w:rsid w:val="00E05BFE"/>
    <w:rPr>
      <w:rFonts w:ascii="Calibri" w:eastAsia="Times New Roman" w:hAnsi="Calibri"/>
      <w:caps/>
      <w:snapToGrid w:val="0"/>
      <w:color w:val="365F91"/>
      <w:spacing w:val="10"/>
      <w:szCs w:val="24"/>
      <w:lang w:val="en-US" w:eastAsia="en-US"/>
    </w:rPr>
  </w:style>
  <w:style w:type="character" w:customStyle="1" w:styleId="80">
    <w:name w:val="Заголовок 8 Знак"/>
    <w:basedOn w:val="a0"/>
    <w:link w:val="8"/>
    <w:uiPriority w:val="9"/>
    <w:semiHidden/>
    <w:rsid w:val="00E05BFE"/>
    <w:rPr>
      <w:rFonts w:ascii="Calibri" w:eastAsia="Times New Roman" w:hAnsi="Calibri"/>
      <w:caps/>
      <w:snapToGrid w:val="0"/>
      <w:spacing w:val="10"/>
      <w:sz w:val="18"/>
      <w:szCs w:val="18"/>
      <w:lang w:val="en-US" w:eastAsia="en-US"/>
    </w:rPr>
  </w:style>
  <w:style w:type="character" w:customStyle="1" w:styleId="90">
    <w:name w:val="Заголовок 9 Знак"/>
    <w:basedOn w:val="a0"/>
    <w:link w:val="9"/>
    <w:uiPriority w:val="9"/>
    <w:semiHidden/>
    <w:rsid w:val="00E05BFE"/>
    <w:rPr>
      <w:rFonts w:ascii="Calibri" w:eastAsia="Times New Roman" w:hAnsi="Calibri"/>
      <w:i/>
      <w:caps/>
      <w:snapToGrid w:val="0"/>
      <w:spacing w:val="10"/>
      <w:sz w:val="18"/>
      <w:szCs w:val="18"/>
      <w:lang w:val="en-US" w:eastAsia="en-US"/>
    </w:rPr>
  </w:style>
  <w:style w:type="numbering" w:customStyle="1" w:styleId="11">
    <w:name w:val="Нет списка1"/>
    <w:next w:val="a2"/>
    <w:uiPriority w:val="99"/>
    <w:semiHidden/>
    <w:unhideWhenUsed/>
    <w:rsid w:val="00E05BFE"/>
  </w:style>
  <w:style w:type="numbering" w:customStyle="1" w:styleId="110">
    <w:name w:val="Нет списка11"/>
    <w:next w:val="a2"/>
    <w:uiPriority w:val="99"/>
    <w:semiHidden/>
    <w:unhideWhenUsed/>
    <w:rsid w:val="00E05BFE"/>
  </w:style>
  <w:style w:type="paragraph" w:styleId="a9">
    <w:name w:val="endnote text"/>
    <w:basedOn w:val="a"/>
    <w:link w:val="aa"/>
    <w:semiHidden/>
    <w:rsid w:val="00E05BFE"/>
    <w:pPr>
      <w:widowControl w:val="0"/>
      <w:spacing w:after="0" w:line="240" w:lineRule="auto"/>
      <w:ind w:left="720" w:hanging="720"/>
      <w:jc w:val="both"/>
    </w:pPr>
    <w:rPr>
      <w:rFonts w:eastAsia="Times New Roman"/>
      <w:snapToGrid w:val="0"/>
      <w:szCs w:val="24"/>
      <w:lang w:val="en-US" w:eastAsia="en-US"/>
    </w:rPr>
  </w:style>
  <w:style w:type="character" w:customStyle="1" w:styleId="aa">
    <w:name w:val="Текст концевой сноски Знак"/>
    <w:basedOn w:val="a0"/>
    <w:link w:val="a9"/>
    <w:semiHidden/>
    <w:rsid w:val="00E05BFE"/>
    <w:rPr>
      <w:rFonts w:eastAsia="Times New Roman"/>
      <w:snapToGrid w:val="0"/>
      <w:szCs w:val="24"/>
      <w:lang w:val="en-US" w:eastAsia="en-US"/>
    </w:rPr>
  </w:style>
  <w:style w:type="paragraph" w:styleId="ab">
    <w:name w:val="footnote text"/>
    <w:basedOn w:val="a"/>
    <w:link w:val="ac"/>
    <w:rsid w:val="00E05BFE"/>
    <w:pPr>
      <w:widowControl w:val="0"/>
      <w:spacing w:after="0" w:line="240" w:lineRule="auto"/>
      <w:jc w:val="both"/>
    </w:pPr>
    <w:rPr>
      <w:rFonts w:eastAsia="Times New Roman"/>
      <w:sz w:val="20"/>
      <w:szCs w:val="24"/>
      <w:lang w:val="en-US" w:eastAsia="en-US"/>
    </w:rPr>
  </w:style>
  <w:style w:type="character" w:customStyle="1" w:styleId="ac">
    <w:name w:val="Текст сноски Знак"/>
    <w:basedOn w:val="a0"/>
    <w:link w:val="ab"/>
    <w:rsid w:val="00E05BFE"/>
    <w:rPr>
      <w:rFonts w:eastAsia="Times New Roman"/>
      <w:sz w:val="20"/>
      <w:szCs w:val="24"/>
      <w:lang w:val="en-US" w:eastAsia="en-US"/>
    </w:rPr>
  </w:style>
  <w:style w:type="character" w:styleId="ad">
    <w:name w:val="footnote reference"/>
    <w:basedOn w:val="a0"/>
    <w:semiHidden/>
    <w:rsid w:val="00E05BFE"/>
    <w:rPr>
      <w:rFonts w:ascii="Times New Roman" w:hAnsi="Times New Roman"/>
      <w:sz w:val="22"/>
      <w:vertAlign w:val="superscript"/>
    </w:rPr>
  </w:style>
  <w:style w:type="paragraph" w:styleId="ae">
    <w:name w:val="toa heading"/>
    <w:basedOn w:val="a"/>
    <w:next w:val="a"/>
    <w:semiHidden/>
    <w:rsid w:val="00E05BFE"/>
    <w:pPr>
      <w:widowControl w:val="0"/>
      <w:tabs>
        <w:tab w:val="right" w:pos="9360"/>
      </w:tabs>
      <w:suppressAutoHyphens/>
      <w:spacing w:after="0" w:line="240" w:lineRule="auto"/>
      <w:jc w:val="both"/>
    </w:pPr>
    <w:rPr>
      <w:rFonts w:eastAsia="Times New Roman"/>
      <w:szCs w:val="24"/>
      <w:lang w:val="en-US" w:eastAsia="en-US"/>
    </w:rPr>
  </w:style>
  <w:style w:type="paragraph" w:styleId="af">
    <w:name w:val="caption"/>
    <w:basedOn w:val="a"/>
    <w:next w:val="a"/>
    <w:link w:val="af0"/>
    <w:qFormat/>
    <w:rsid w:val="00E05BFE"/>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1"/>
    <w:qFormat/>
    <w:rsid w:val="00E05BFE"/>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styleId="21">
    <w:name w:val="Body Text 2"/>
    <w:basedOn w:val="a"/>
    <w:link w:val="22"/>
    <w:semiHidden/>
    <w:rsid w:val="00E05BFE"/>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0"/>
    <w:link w:val="21"/>
    <w:semiHidden/>
    <w:rsid w:val="00E05BFE"/>
    <w:rPr>
      <w:rFonts w:eastAsia="Times New Roman"/>
      <w:szCs w:val="24"/>
      <w:lang w:val="en-US" w:eastAsia="en-US"/>
    </w:rPr>
  </w:style>
  <w:style w:type="character" w:customStyle="1" w:styleId="12">
    <w:name w:val="Гиперссылка1"/>
    <w:basedOn w:val="a0"/>
    <w:rsid w:val="00E05BFE"/>
    <w:rPr>
      <w:rFonts w:ascii="Times New Roman" w:hAnsi="Times New Roman"/>
      <w:color w:val="0000FF"/>
      <w:sz w:val="20"/>
      <w:u w:val="single"/>
    </w:rPr>
  </w:style>
  <w:style w:type="paragraph" w:customStyle="1" w:styleId="Abstractheading">
    <w:name w:val="Abstract heading"/>
    <w:basedOn w:val="a"/>
    <w:qFormat/>
    <w:rsid w:val="00E05BFE"/>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E05BFE"/>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E05BFE"/>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E05BFE"/>
    <w:rPr>
      <w:rFonts w:cs="Calibri"/>
      <w:sz w:val="20"/>
    </w:rPr>
  </w:style>
  <w:style w:type="paragraph" w:customStyle="1" w:styleId="References">
    <w:name w:val="References"/>
    <w:basedOn w:val="a"/>
    <w:link w:val="ReferencesChar"/>
    <w:qFormat/>
    <w:rsid w:val="00E05BFE"/>
    <w:pPr>
      <w:widowControl w:val="0"/>
      <w:tabs>
        <w:tab w:val="left" w:pos="360"/>
      </w:tabs>
      <w:autoSpaceDE w:val="0"/>
      <w:autoSpaceDN w:val="0"/>
      <w:spacing w:after="120" w:line="240" w:lineRule="auto"/>
      <w:jc w:val="both"/>
    </w:pPr>
    <w:rPr>
      <w:rFonts w:cs="Calibri"/>
      <w:sz w:val="20"/>
    </w:rPr>
  </w:style>
  <w:style w:type="paragraph" w:customStyle="1" w:styleId="13">
    <w:name w:val="Заголовок1"/>
    <w:basedOn w:val="a"/>
    <w:next w:val="a"/>
    <w:link w:val="af2"/>
    <w:uiPriority w:val="10"/>
    <w:qFormat/>
    <w:rsid w:val="00E05BFE"/>
    <w:pPr>
      <w:widowControl w:val="0"/>
      <w:pBdr>
        <w:bottom w:val="single" w:sz="8" w:space="4" w:color="4F81BD"/>
      </w:pBdr>
      <w:spacing w:after="300" w:line="240" w:lineRule="auto"/>
      <w:contextualSpacing/>
      <w:jc w:val="both"/>
    </w:pPr>
    <w:rPr>
      <w:rFonts w:ascii="Cambria" w:eastAsia="Times New Roman" w:hAnsi="Cambria"/>
      <w:color w:val="17365D"/>
      <w:spacing w:val="5"/>
      <w:kern w:val="28"/>
      <w:sz w:val="52"/>
      <w:szCs w:val="52"/>
      <w:lang w:val="en-US" w:eastAsia="en-US"/>
    </w:rPr>
  </w:style>
  <w:style w:type="character" w:customStyle="1" w:styleId="af2">
    <w:name w:val="Заголовок Знак"/>
    <w:basedOn w:val="a0"/>
    <w:link w:val="13"/>
    <w:uiPriority w:val="10"/>
    <w:rsid w:val="00E05BFE"/>
    <w:rPr>
      <w:rFonts w:ascii="Cambria" w:eastAsia="Times New Roman" w:hAnsi="Cambria"/>
      <w:color w:val="17365D"/>
      <w:spacing w:val="5"/>
      <w:kern w:val="28"/>
      <w:sz w:val="52"/>
      <w:szCs w:val="52"/>
      <w:lang w:val="en-US" w:eastAsia="en-US"/>
    </w:rPr>
  </w:style>
  <w:style w:type="paragraph" w:styleId="af3">
    <w:name w:val="Body Text Indent"/>
    <w:basedOn w:val="a"/>
    <w:link w:val="af4"/>
    <w:uiPriority w:val="99"/>
    <w:semiHidden/>
    <w:unhideWhenUsed/>
    <w:rsid w:val="00E05BFE"/>
    <w:pPr>
      <w:widowControl w:val="0"/>
      <w:spacing w:after="120" w:line="240" w:lineRule="auto"/>
      <w:ind w:left="283"/>
      <w:jc w:val="both"/>
    </w:pPr>
    <w:rPr>
      <w:rFonts w:eastAsia="Times New Roman"/>
      <w:szCs w:val="24"/>
      <w:lang w:val="en-US" w:eastAsia="en-US"/>
    </w:rPr>
  </w:style>
  <w:style w:type="character" w:customStyle="1" w:styleId="af4">
    <w:name w:val="Основной текст с отступом Знак"/>
    <w:basedOn w:val="a0"/>
    <w:link w:val="af3"/>
    <w:uiPriority w:val="99"/>
    <w:semiHidden/>
    <w:rsid w:val="00E05BFE"/>
    <w:rPr>
      <w:rFonts w:eastAsia="Times New Roman"/>
      <w:szCs w:val="24"/>
      <w:lang w:val="en-US" w:eastAsia="en-US"/>
    </w:rPr>
  </w:style>
  <w:style w:type="character" w:customStyle="1" w:styleId="UnresolvedMention">
    <w:name w:val="Unresolved Mention"/>
    <w:basedOn w:val="a0"/>
    <w:uiPriority w:val="99"/>
    <w:semiHidden/>
    <w:unhideWhenUsed/>
    <w:rsid w:val="00E05BFE"/>
    <w:rPr>
      <w:color w:val="605E5C"/>
      <w:shd w:val="clear" w:color="auto" w:fill="E1DFDD"/>
    </w:rPr>
  </w:style>
  <w:style w:type="table" w:customStyle="1" w:styleId="14">
    <w:name w:val="Сетка таблицы1"/>
    <w:basedOn w:val="a1"/>
    <w:next w:val="af5"/>
    <w:uiPriority w:val="59"/>
    <w:rsid w:val="00E05BFE"/>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text">
    <w:name w:val="Reference text"/>
    <w:basedOn w:val="a"/>
    <w:rsid w:val="00E05BFE"/>
    <w:pPr>
      <w:widowControl w:val="0"/>
      <w:suppressAutoHyphens/>
      <w:overflowPunct w:val="0"/>
      <w:autoSpaceDE w:val="0"/>
      <w:autoSpaceDN w:val="0"/>
      <w:adjustRightInd w:val="0"/>
      <w:spacing w:before="120" w:after="0" w:line="220" w:lineRule="exact"/>
      <w:ind w:left="230" w:hanging="230"/>
      <w:jc w:val="both"/>
    </w:pPr>
    <w:rPr>
      <w:rFonts w:eastAsia="Times New Roman"/>
      <w:snapToGrid w:val="0"/>
      <w:sz w:val="20"/>
      <w:szCs w:val="20"/>
      <w:lang w:val="en-NZ" w:eastAsia="en-US"/>
    </w:rPr>
  </w:style>
  <w:style w:type="paragraph" w:styleId="af6">
    <w:name w:val="List Paragraph"/>
    <w:basedOn w:val="a"/>
    <w:link w:val="af7"/>
    <w:uiPriority w:val="34"/>
    <w:qFormat/>
    <w:rsid w:val="00E05BFE"/>
    <w:pPr>
      <w:widowControl w:val="0"/>
      <w:spacing w:after="0" w:line="240" w:lineRule="auto"/>
      <w:ind w:left="720"/>
      <w:contextualSpacing/>
      <w:jc w:val="both"/>
    </w:pPr>
    <w:rPr>
      <w:rFonts w:eastAsia="Times New Roman"/>
      <w:szCs w:val="24"/>
      <w:lang w:val="en-US" w:eastAsia="en-US"/>
    </w:rPr>
  </w:style>
  <w:style w:type="paragraph" w:customStyle="1" w:styleId="15">
    <w:name w:val="Название1"/>
    <w:basedOn w:val="a"/>
    <w:next w:val="a"/>
    <w:link w:val="af8"/>
    <w:uiPriority w:val="10"/>
    <w:qFormat/>
    <w:rsid w:val="00E05BFE"/>
    <w:pPr>
      <w:widowControl w:val="0"/>
      <w:spacing w:after="0" w:line="240" w:lineRule="auto"/>
      <w:contextualSpacing/>
      <w:jc w:val="both"/>
    </w:pPr>
    <w:rPr>
      <w:rFonts w:ascii="Calibri Light" w:eastAsia="Times New Roman" w:hAnsi="Calibri Light"/>
      <w:spacing w:val="-10"/>
      <w:kern w:val="28"/>
      <w:sz w:val="56"/>
      <w:szCs w:val="56"/>
    </w:rPr>
  </w:style>
  <w:style w:type="character" w:customStyle="1" w:styleId="af8">
    <w:name w:val="Название Знак"/>
    <w:basedOn w:val="a0"/>
    <w:link w:val="15"/>
    <w:uiPriority w:val="10"/>
    <w:rsid w:val="00E05BFE"/>
    <w:rPr>
      <w:rFonts w:ascii="Calibri Light" w:eastAsia="Times New Roman" w:hAnsi="Calibri Light" w:cs="Times New Roman"/>
      <w:spacing w:val="-10"/>
      <w:kern w:val="28"/>
      <w:sz w:val="56"/>
      <w:szCs w:val="56"/>
    </w:rPr>
  </w:style>
  <w:style w:type="character" w:customStyle="1" w:styleId="23">
    <w:name w:val="Гиперссылка2"/>
    <w:basedOn w:val="a0"/>
    <w:rsid w:val="00E05BFE"/>
    <w:rPr>
      <w:rFonts w:ascii="Times New Roman" w:hAnsi="Times New Roman"/>
      <w:color w:val="0563C1"/>
      <w:sz w:val="22"/>
      <w:u w:val="single"/>
    </w:rPr>
  </w:style>
  <w:style w:type="table" w:styleId="af5">
    <w:name w:val="Table Grid"/>
    <w:basedOn w:val="a1"/>
    <w:uiPriority w:val="39"/>
    <w:rsid w:val="00E05BFE"/>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E05BFE"/>
  </w:style>
  <w:style w:type="character" w:styleId="af9">
    <w:name w:val="annotation reference"/>
    <w:basedOn w:val="a0"/>
    <w:semiHidden/>
    <w:unhideWhenUsed/>
    <w:rsid w:val="00E05BFE"/>
    <w:rPr>
      <w:sz w:val="16"/>
      <w:szCs w:val="16"/>
    </w:rPr>
  </w:style>
  <w:style w:type="paragraph" w:styleId="afa">
    <w:name w:val="annotation text"/>
    <w:basedOn w:val="a"/>
    <w:link w:val="afb"/>
    <w:semiHidden/>
    <w:unhideWhenUsed/>
    <w:rsid w:val="00E05BFE"/>
    <w:pPr>
      <w:widowControl w:val="0"/>
      <w:spacing w:after="0" w:line="240" w:lineRule="auto"/>
      <w:jc w:val="both"/>
    </w:pPr>
    <w:rPr>
      <w:rFonts w:eastAsia="Times New Roman"/>
      <w:sz w:val="20"/>
      <w:szCs w:val="20"/>
      <w:lang w:val="en-US" w:eastAsia="en-US"/>
    </w:rPr>
  </w:style>
  <w:style w:type="character" w:customStyle="1" w:styleId="afb">
    <w:name w:val="Текст примечания Знак"/>
    <w:basedOn w:val="a0"/>
    <w:link w:val="afa"/>
    <w:semiHidden/>
    <w:rsid w:val="00E05BFE"/>
    <w:rPr>
      <w:rFonts w:eastAsia="Times New Roman"/>
      <w:sz w:val="20"/>
      <w:szCs w:val="20"/>
      <w:lang w:val="en-US" w:eastAsia="en-US"/>
    </w:rPr>
  </w:style>
  <w:style w:type="paragraph" w:styleId="afc">
    <w:name w:val="annotation subject"/>
    <w:basedOn w:val="afa"/>
    <w:next w:val="afa"/>
    <w:link w:val="afd"/>
    <w:uiPriority w:val="99"/>
    <w:semiHidden/>
    <w:unhideWhenUsed/>
    <w:rsid w:val="00E05BFE"/>
    <w:rPr>
      <w:b/>
      <w:bCs/>
    </w:rPr>
  </w:style>
  <w:style w:type="character" w:customStyle="1" w:styleId="afd">
    <w:name w:val="Тема примечания Знак"/>
    <w:basedOn w:val="afb"/>
    <w:link w:val="afc"/>
    <w:uiPriority w:val="99"/>
    <w:semiHidden/>
    <w:rsid w:val="00E05BFE"/>
    <w:rPr>
      <w:rFonts w:eastAsia="Times New Roman"/>
      <w:b/>
      <w:bCs/>
      <w:sz w:val="20"/>
      <w:szCs w:val="20"/>
      <w:lang w:val="en-US" w:eastAsia="en-US"/>
    </w:rPr>
  </w:style>
  <w:style w:type="numbering" w:customStyle="1" w:styleId="31">
    <w:name w:val="Нет списка3"/>
    <w:next w:val="a2"/>
    <w:uiPriority w:val="99"/>
    <w:semiHidden/>
    <w:unhideWhenUsed/>
    <w:rsid w:val="00E05BFE"/>
  </w:style>
  <w:style w:type="paragraph" w:styleId="afe">
    <w:name w:val="Subtitle"/>
    <w:basedOn w:val="a"/>
    <w:next w:val="a"/>
    <w:link w:val="aff"/>
    <w:uiPriority w:val="11"/>
    <w:qFormat/>
    <w:rsid w:val="00E05BFE"/>
    <w:pPr>
      <w:widowControl w:val="0"/>
      <w:spacing w:after="1000" w:line="240" w:lineRule="auto"/>
      <w:jc w:val="both"/>
    </w:pPr>
    <w:rPr>
      <w:rFonts w:ascii="Calibri" w:eastAsia="Times New Roman" w:hAnsi="Calibri"/>
      <w:caps/>
      <w:snapToGrid w:val="0"/>
      <w:color w:val="595959"/>
      <w:spacing w:val="10"/>
      <w:szCs w:val="24"/>
      <w:lang w:val="en-US" w:eastAsia="en-US"/>
    </w:rPr>
  </w:style>
  <w:style w:type="character" w:customStyle="1" w:styleId="aff">
    <w:name w:val="Подзаголовок Знак"/>
    <w:basedOn w:val="a0"/>
    <w:link w:val="afe"/>
    <w:uiPriority w:val="11"/>
    <w:rsid w:val="00E05BFE"/>
    <w:rPr>
      <w:rFonts w:ascii="Calibri" w:eastAsia="Times New Roman" w:hAnsi="Calibri"/>
      <w:caps/>
      <w:snapToGrid w:val="0"/>
      <w:color w:val="595959"/>
      <w:spacing w:val="10"/>
      <w:szCs w:val="24"/>
      <w:lang w:val="en-US" w:eastAsia="en-US"/>
    </w:rPr>
  </w:style>
  <w:style w:type="character" w:styleId="aff0">
    <w:name w:val="Strong"/>
    <w:uiPriority w:val="22"/>
    <w:qFormat/>
    <w:rsid w:val="00E05BFE"/>
    <w:rPr>
      <w:b/>
      <w:bCs/>
    </w:rPr>
  </w:style>
  <w:style w:type="character" w:styleId="aff1">
    <w:name w:val="Emphasis"/>
    <w:uiPriority w:val="20"/>
    <w:qFormat/>
    <w:rsid w:val="00E05BFE"/>
    <w:rPr>
      <w:i/>
      <w:caps w:val="0"/>
      <w:color w:val="auto"/>
      <w:spacing w:val="5"/>
    </w:rPr>
  </w:style>
  <w:style w:type="paragraph" w:styleId="aff2">
    <w:name w:val="No Spacing"/>
    <w:basedOn w:val="a"/>
    <w:link w:val="aff3"/>
    <w:uiPriority w:val="1"/>
    <w:qFormat/>
    <w:rsid w:val="00E05BFE"/>
    <w:pPr>
      <w:widowControl w:val="0"/>
      <w:spacing w:after="0" w:line="240" w:lineRule="auto"/>
      <w:jc w:val="both"/>
    </w:pPr>
    <w:rPr>
      <w:rFonts w:ascii="Calibri" w:eastAsia="Times New Roman" w:hAnsi="Calibri"/>
      <w:snapToGrid w:val="0"/>
      <w:szCs w:val="20"/>
      <w:lang w:val="en-US" w:eastAsia="en-US"/>
    </w:rPr>
  </w:style>
  <w:style w:type="character" w:customStyle="1" w:styleId="aff3">
    <w:name w:val="Без интервала Знак"/>
    <w:basedOn w:val="a0"/>
    <w:link w:val="aff2"/>
    <w:uiPriority w:val="1"/>
    <w:rsid w:val="00E05BFE"/>
    <w:rPr>
      <w:rFonts w:ascii="Calibri" w:eastAsia="Times New Roman" w:hAnsi="Calibri"/>
      <w:snapToGrid w:val="0"/>
      <w:szCs w:val="20"/>
      <w:lang w:val="en-US" w:eastAsia="en-US"/>
    </w:rPr>
  </w:style>
  <w:style w:type="character" w:customStyle="1" w:styleId="af7">
    <w:name w:val="Абзац списка Знак"/>
    <w:basedOn w:val="a0"/>
    <w:link w:val="af6"/>
    <w:uiPriority w:val="34"/>
    <w:rsid w:val="00E05BFE"/>
    <w:rPr>
      <w:rFonts w:eastAsia="Times New Roman"/>
      <w:szCs w:val="24"/>
      <w:lang w:val="en-US" w:eastAsia="en-US"/>
    </w:rPr>
  </w:style>
  <w:style w:type="paragraph" w:styleId="25">
    <w:name w:val="Quote"/>
    <w:basedOn w:val="a"/>
    <w:next w:val="a"/>
    <w:link w:val="26"/>
    <w:uiPriority w:val="29"/>
    <w:qFormat/>
    <w:rsid w:val="00E05BFE"/>
    <w:pPr>
      <w:widowControl w:val="0"/>
      <w:jc w:val="both"/>
    </w:pPr>
    <w:rPr>
      <w:rFonts w:ascii="Calibri" w:eastAsia="Times New Roman" w:hAnsi="Calibri"/>
      <w:i/>
      <w:iCs/>
      <w:snapToGrid w:val="0"/>
      <w:szCs w:val="20"/>
      <w:lang w:val="en-US" w:eastAsia="en-US"/>
    </w:rPr>
  </w:style>
  <w:style w:type="character" w:customStyle="1" w:styleId="26">
    <w:name w:val="Цитата 2 Знак"/>
    <w:basedOn w:val="a0"/>
    <w:link w:val="25"/>
    <w:uiPriority w:val="29"/>
    <w:rsid w:val="00E05BFE"/>
    <w:rPr>
      <w:rFonts w:ascii="Calibri" w:eastAsia="Times New Roman" w:hAnsi="Calibri"/>
      <w:i/>
      <w:iCs/>
      <w:snapToGrid w:val="0"/>
      <w:szCs w:val="20"/>
      <w:lang w:val="en-US" w:eastAsia="en-US"/>
    </w:rPr>
  </w:style>
  <w:style w:type="paragraph" w:styleId="aff4">
    <w:name w:val="Intense Quote"/>
    <w:basedOn w:val="a"/>
    <w:next w:val="a"/>
    <w:link w:val="aff5"/>
    <w:uiPriority w:val="30"/>
    <w:qFormat/>
    <w:rsid w:val="00E05BFE"/>
    <w:pPr>
      <w:widowControl w:val="0"/>
      <w:pBdr>
        <w:top w:val="single" w:sz="4" w:space="10" w:color="4F81BD"/>
        <w:left w:val="single" w:sz="4" w:space="10" w:color="4F81BD"/>
      </w:pBdr>
      <w:spacing w:after="0"/>
      <w:ind w:left="1296" w:right="1152"/>
      <w:jc w:val="both"/>
    </w:pPr>
    <w:rPr>
      <w:rFonts w:ascii="Calibri" w:eastAsia="Times New Roman" w:hAnsi="Calibri"/>
      <w:i/>
      <w:iCs/>
      <w:snapToGrid w:val="0"/>
      <w:color w:val="4F81BD"/>
      <w:szCs w:val="20"/>
      <w:lang w:val="en-US" w:eastAsia="en-US"/>
    </w:rPr>
  </w:style>
  <w:style w:type="character" w:customStyle="1" w:styleId="aff5">
    <w:name w:val="Выделенная цитата Знак"/>
    <w:basedOn w:val="a0"/>
    <w:link w:val="aff4"/>
    <w:uiPriority w:val="30"/>
    <w:rsid w:val="00E05BFE"/>
    <w:rPr>
      <w:rFonts w:ascii="Calibri" w:eastAsia="Times New Roman" w:hAnsi="Calibri"/>
      <w:i/>
      <w:iCs/>
      <w:snapToGrid w:val="0"/>
      <w:color w:val="4F81BD"/>
      <w:szCs w:val="20"/>
      <w:lang w:val="en-US" w:eastAsia="en-US"/>
    </w:rPr>
  </w:style>
  <w:style w:type="character" w:styleId="aff6">
    <w:name w:val="Subtle Emphasis"/>
    <w:uiPriority w:val="19"/>
    <w:qFormat/>
    <w:rsid w:val="00E05BFE"/>
    <w:rPr>
      <w:i/>
      <w:iCs/>
      <w:color w:val="943634"/>
    </w:rPr>
  </w:style>
  <w:style w:type="character" w:styleId="aff7">
    <w:name w:val="Intense Emphasis"/>
    <w:uiPriority w:val="21"/>
    <w:qFormat/>
    <w:rsid w:val="00E05BFE"/>
    <w:rPr>
      <w:b/>
      <w:bCs/>
      <w:caps/>
      <w:color w:val="243F60"/>
      <w:spacing w:val="10"/>
    </w:rPr>
  </w:style>
  <w:style w:type="character" w:styleId="aff8">
    <w:name w:val="Subtle Reference"/>
    <w:uiPriority w:val="31"/>
    <w:qFormat/>
    <w:rsid w:val="00E05BFE"/>
    <w:rPr>
      <w:b/>
      <w:bCs/>
      <w:color w:val="4F81BD"/>
    </w:rPr>
  </w:style>
  <w:style w:type="character" w:styleId="aff9">
    <w:name w:val="Intense Reference"/>
    <w:uiPriority w:val="32"/>
    <w:qFormat/>
    <w:rsid w:val="00E05BFE"/>
    <w:rPr>
      <w:b/>
      <w:bCs/>
      <w:i/>
      <w:iCs/>
      <w:caps/>
      <w:color w:val="4F81BD"/>
    </w:rPr>
  </w:style>
  <w:style w:type="character" w:styleId="affa">
    <w:name w:val="Book Title"/>
    <w:uiPriority w:val="33"/>
    <w:qFormat/>
    <w:rsid w:val="00E05BFE"/>
    <w:rPr>
      <w:b/>
      <w:bCs/>
      <w:i/>
      <w:iCs/>
      <w:spacing w:val="9"/>
    </w:rPr>
  </w:style>
  <w:style w:type="paragraph" w:styleId="affb">
    <w:name w:val="Normal (Web)"/>
    <w:basedOn w:val="a"/>
    <w:uiPriority w:val="99"/>
    <w:unhideWhenUsed/>
    <w:rsid w:val="00E05BFE"/>
    <w:pPr>
      <w:widowControl w:val="0"/>
      <w:spacing w:before="100" w:beforeAutospacing="1" w:after="100" w:afterAutospacing="1" w:line="240" w:lineRule="auto"/>
      <w:jc w:val="both"/>
    </w:pPr>
    <w:rPr>
      <w:rFonts w:eastAsia="Times New Roman"/>
      <w:snapToGrid w:val="0"/>
      <w:szCs w:val="24"/>
      <w:lang w:val="en-US" w:eastAsia="en-US"/>
    </w:rPr>
  </w:style>
  <w:style w:type="paragraph" w:customStyle="1" w:styleId="text">
    <w:name w:val="text"/>
    <w:basedOn w:val="a"/>
    <w:rsid w:val="00E05BFE"/>
    <w:pPr>
      <w:widowControl w:val="0"/>
      <w:spacing w:after="0" w:line="280" w:lineRule="exact"/>
      <w:ind w:left="1440" w:firstLine="720"/>
      <w:jc w:val="both"/>
    </w:pPr>
    <w:rPr>
      <w:rFonts w:ascii="Palatino Linotype" w:eastAsia="Times New Roman" w:hAnsi="Palatino Linotype"/>
      <w:snapToGrid w:val="0"/>
      <w:szCs w:val="20"/>
      <w:lang w:val="en-US" w:eastAsia="en-US"/>
    </w:rPr>
  </w:style>
  <w:style w:type="paragraph" w:customStyle="1" w:styleId="head-A">
    <w:name w:val="head-A"/>
    <w:basedOn w:val="a"/>
    <w:next w:val="text-no-para"/>
    <w:rsid w:val="00E05BFE"/>
    <w:pPr>
      <w:keepNext/>
      <w:widowControl w:val="0"/>
      <w:suppressAutoHyphens/>
      <w:spacing w:before="480" w:after="240" w:line="240" w:lineRule="auto"/>
      <w:jc w:val="both"/>
      <w:outlineLvl w:val="1"/>
    </w:pPr>
    <w:rPr>
      <w:rFonts w:ascii="Franklin Gothic Demi" w:eastAsia="Times New Roman" w:hAnsi="Franklin Gothic Demi"/>
      <w:snapToGrid w:val="0"/>
      <w:sz w:val="32"/>
      <w:szCs w:val="20"/>
      <w:lang w:val="en-US" w:eastAsia="en-US"/>
    </w:rPr>
  </w:style>
  <w:style w:type="paragraph" w:customStyle="1" w:styleId="text-no-para">
    <w:name w:val="text-no-para"/>
    <w:basedOn w:val="text"/>
    <w:next w:val="text"/>
    <w:rsid w:val="00E05BFE"/>
    <w:pPr>
      <w:ind w:firstLine="0"/>
    </w:pPr>
  </w:style>
  <w:style w:type="paragraph" w:customStyle="1" w:styleId="head-B">
    <w:name w:val="head-B"/>
    <w:basedOn w:val="text-no-para"/>
    <w:next w:val="text-no-para"/>
    <w:rsid w:val="00E05BFE"/>
    <w:pPr>
      <w:keepNext/>
      <w:suppressAutoHyphens/>
      <w:spacing w:before="360" w:after="120"/>
      <w:jc w:val="left"/>
      <w:outlineLvl w:val="2"/>
    </w:pPr>
    <w:rPr>
      <w:rFonts w:ascii="Franklin Gothic Demi" w:hAnsi="Franklin Gothic Demi"/>
      <w:i/>
    </w:rPr>
  </w:style>
  <w:style w:type="paragraph" w:customStyle="1" w:styleId="chap-start">
    <w:name w:val="chap-start"/>
    <w:basedOn w:val="text"/>
    <w:next w:val="text"/>
    <w:rsid w:val="00E05BFE"/>
    <w:pPr>
      <w:spacing w:before="480"/>
      <w:ind w:firstLine="0"/>
    </w:pPr>
  </w:style>
  <w:style w:type="paragraph" w:customStyle="1" w:styleId="chap-subtitle">
    <w:name w:val="chap-subtitle"/>
    <w:basedOn w:val="a"/>
    <w:next w:val="a"/>
    <w:rsid w:val="00E05BFE"/>
    <w:pPr>
      <w:widowControl w:val="0"/>
      <w:suppressAutoHyphens/>
      <w:spacing w:before="240" w:after="0" w:line="360" w:lineRule="auto"/>
      <w:jc w:val="center"/>
    </w:pPr>
    <w:rPr>
      <w:rFonts w:ascii="Times" w:eastAsia="Times New Roman" w:hAnsi="Times"/>
      <w:b/>
      <w:i/>
      <w:snapToGrid w:val="0"/>
      <w:sz w:val="28"/>
      <w:szCs w:val="20"/>
      <w:lang w:val="en-US" w:eastAsia="en-US"/>
    </w:rPr>
  </w:style>
  <w:style w:type="character" w:customStyle="1" w:styleId="16">
    <w:name w:val="Текст примечания Знак1"/>
    <w:basedOn w:val="a0"/>
    <w:uiPriority w:val="99"/>
    <w:semiHidden/>
    <w:rsid w:val="00E05BFE"/>
    <w:rPr>
      <w:rFonts w:ascii="Times New Roman" w:eastAsia="Times New Roman" w:hAnsi="Times New Roman" w:cs="Times New Roman"/>
      <w:snapToGrid w:val="0"/>
      <w:sz w:val="20"/>
      <w:szCs w:val="20"/>
      <w:lang w:val="en-US"/>
    </w:rPr>
  </w:style>
  <w:style w:type="character" w:customStyle="1" w:styleId="17">
    <w:name w:val="Тема примечания Знак1"/>
    <w:basedOn w:val="16"/>
    <w:uiPriority w:val="99"/>
    <w:semiHidden/>
    <w:rsid w:val="00E05BFE"/>
    <w:rPr>
      <w:rFonts w:ascii="Times New Roman" w:eastAsia="Times New Roman" w:hAnsi="Times New Roman" w:cs="Times New Roman"/>
      <w:b/>
      <w:bCs/>
      <w:snapToGrid w:val="0"/>
      <w:sz w:val="20"/>
      <w:szCs w:val="20"/>
      <w:lang w:val="en-US"/>
    </w:rPr>
  </w:style>
  <w:style w:type="paragraph" w:customStyle="1" w:styleId="Table">
    <w:name w:val="Table"/>
    <w:basedOn w:val="a"/>
    <w:qFormat/>
    <w:rsid w:val="00E05BFE"/>
    <w:pPr>
      <w:widowControl w:val="0"/>
      <w:spacing w:after="0" w:line="240" w:lineRule="auto"/>
      <w:jc w:val="both"/>
    </w:pPr>
    <w:rPr>
      <w:rFonts w:ascii="Calibri" w:eastAsia="Times New Roman" w:hAnsi="Calibri"/>
      <w:snapToGrid w:val="0"/>
      <w:sz w:val="20"/>
      <w:szCs w:val="20"/>
      <w:lang w:val="en-US" w:eastAsia="en-US"/>
    </w:rPr>
  </w:style>
  <w:style w:type="table" w:customStyle="1" w:styleId="27">
    <w:name w:val="Сетка таблицы2"/>
    <w:basedOn w:val="a1"/>
    <w:next w:val="af5"/>
    <w:uiPriority w:val="59"/>
    <w:rsid w:val="00E05BFE"/>
    <w:pPr>
      <w:spacing w:after="0" w:line="240" w:lineRule="auto"/>
    </w:pPr>
    <w:rPr>
      <w:rFonts w:ascii="Calibri" w:eastAsia="Times New Roman" w:hAnsi="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ize2">
    <w:name w:val="fontsize2"/>
    <w:basedOn w:val="a0"/>
    <w:rsid w:val="00E05BFE"/>
  </w:style>
  <w:style w:type="character" w:customStyle="1" w:styleId="nlmstring-name">
    <w:name w:val="nlm_string-name"/>
    <w:basedOn w:val="a0"/>
    <w:rsid w:val="00E05BFE"/>
  </w:style>
  <w:style w:type="paragraph" w:styleId="18">
    <w:name w:val="toc 1"/>
    <w:basedOn w:val="a"/>
    <w:next w:val="a"/>
    <w:autoRedefine/>
    <w:uiPriority w:val="39"/>
    <w:unhideWhenUsed/>
    <w:rsid w:val="00E05BFE"/>
    <w:pPr>
      <w:keepNext/>
      <w:widowControl w:val="0"/>
      <w:tabs>
        <w:tab w:val="right" w:leader="dot" w:pos="9350"/>
      </w:tabs>
      <w:spacing w:before="120" w:after="0"/>
      <w:jc w:val="both"/>
    </w:pPr>
    <w:rPr>
      <w:rFonts w:ascii="Calibri" w:eastAsia="Times New Roman" w:hAnsi="Calibri"/>
      <w:b/>
      <w:caps/>
      <w:snapToGrid w:val="0"/>
      <w:color w:val="943634"/>
      <w:sz w:val="28"/>
      <w:szCs w:val="20"/>
      <w:lang w:val="en-US" w:eastAsia="en-US"/>
    </w:rPr>
  </w:style>
  <w:style w:type="paragraph" w:styleId="28">
    <w:name w:val="toc 2"/>
    <w:basedOn w:val="a"/>
    <w:next w:val="a"/>
    <w:autoRedefine/>
    <w:uiPriority w:val="39"/>
    <w:unhideWhenUsed/>
    <w:rsid w:val="00E05BFE"/>
    <w:pPr>
      <w:widowControl w:val="0"/>
      <w:spacing w:after="0"/>
      <w:jc w:val="both"/>
    </w:pPr>
    <w:rPr>
      <w:rFonts w:ascii="Calibri" w:eastAsia="Times New Roman" w:hAnsi="Calibri"/>
      <w:b/>
      <w:snapToGrid w:val="0"/>
      <w:szCs w:val="20"/>
      <w:lang w:val="en-US" w:eastAsia="en-US"/>
    </w:rPr>
  </w:style>
  <w:style w:type="paragraph" w:styleId="32">
    <w:name w:val="toc 3"/>
    <w:basedOn w:val="a"/>
    <w:next w:val="a"/>
    <w:autoRedefine/>
    <w:uiPriority w:val="39"/>
    <w:unhideWhenUsed/>
    <w:rsid w:val="00E05BFE"/>
    <w:pPr>
      <w:widowControl w:val="0"/>
      <w:spacing w:after="0"/>
      <w:ind w:left="480"/>
      <w:jc w:val="both"/>
    </w:pPr>
    <w:rPr>
      <w:rFonts w:ascii="Calibri" w:eastAsia="Times New Roman" w:hAnsi="Calibri"/>
      <w:snapToGrid w:val="0"/>
      <w:szCs w:val="20"/>
      <w:lang w:val="en-US" w:eastAsia="en-US"/>
    </w:rPr>
  </w:style>
  <w:style w:type="character" w:customStyle="1" w:styleId="InternalLink">
    <w:name w:val="InternalLink"/>
    <w:basedOn w:val="a0"/>
    <w:uiPriority w:val="1"/>
    <w:rsid w:val="00E05BFE"/>
    <w:rPr>
      <w:i/>
      <w:color w:val="943634"/>
    </w:rPr>
  </w:style>
  <w:style w:type="paragraph" w:customStyle="1" w:styleId="IGC2017-Author">
    <w:name w:val="IGC2017-Author"/>
    <w:basedOn w:val="a"/>
    <w:autoRedefine/>
    <w:uiPriority w:val="1"/>
    <w:qFormat/>
    <w:rsid w:val="00E05BFE"/>
    <w:pPr>
      <w:widowControl w:val="0"/>
      <w:spacing w:after="0" w:line="240" w:lineRule="auto"/>
      <w:jc w:val="both"/>
    </w:pPr>
    <w:rPr>
      <w:rFonts w:ascii="Arial" w:eastAsia="Times New Roman" w:hAnsi="Arial" w:cs="Arial"/>
      <w:b/>
      <w:snapToGrid w:val="0"/>
      <w:sz w:val="24"/>
      <w:szCs w:val="24"/>
      <w:lang w:val="en-US" w:eastAsia="en-US"/>
    </w:rPr>
  </w:style>
  <w:style w:type="paragraph" w:customStyle="1" w:styleId="IGC2017-EmailID">
    <w:name w:val="IGC2017-Email ID"/>
    <w:basedOn w:val="a"/>
    <w:next w:val="a"/>
    <w:autoRedefine/>
    <w:uiPriority w:val="3"/>
    <w:qFormat/>
    <w:rsid w:val="00E05BFE"/>
    <w:pPr>
      <w:widowControl w:val="0"/>
      <w:spacing w:after="180" w:line="240" w:lineRule="auto"/>
      <w:jc w:val="both"/>
    </w:pPr>
    <w:rPr>
      <w:rFonts w:ascii="Arial" w:eastAsia="Times New Roman" w:hAnsi="Arial" w:cs="Arial"/>
      <w:iCs/>
      <w:snapToGrid w:val="0"/>
      <w:sz w:val="18"/>
      <w:szCs w:val="18"/>
      <w:lang w:val="en-US" w:eastAsia="en-US"/>
    </w:rPr>
  </w:style>
  <w:style w:type="paragraph" w:customStyle="1" w:styleId="IGC2017-Affiliation">
    <w:name w:val="IGC2017-Affiliation"/>
    <w:basedOn w:val="a"/>
    <w:next w:val="IGC2017-EmailID"/>
    <w:autoRedefine/>
    <w:uiPriority w:val="2"/>
    <w:qFormat/>
    <w:rsid w:val="00E05BFE"/>
    <w:pPr>
      <w:widowControl w:val="0"/>
      <w:spacing w:after="0" w:line="240" w:lineRule="auto"/>
      <w:jc w:val="both"/>
    </w:pPr>
    <w:rPr>
      <w:rFonts w:eastAsia="Times New Roman"/>
      <w:i/>
      <w:iCs/>
      <w:snapToGrid w:val="0"/>
      <w:sz w:val="16"/>
      <w:szCs w:val="16"/>
      <w:lang w:val="en-US" w:eastAsia="en-US"/>
    </w:rPr>
  </w:style>
  <w:style w:type="paragraph" w:customStyle="1" w:styleId="IGC2017abstractCaptions">
    <w:name w:val="IGC2017 abstract Captions"/>
    <w:basedOn w:val="a"/>
    <w:uiPriority w:val="29"/>
    <w:rsid w:val="00E05BFE"/>
    <w:pPr>
      <w:widowControl w:val="0"/>
      <w:spacing w:before="40" w:after="40" w:line="240" w:lineRule="auto"/>
      <w:jc w:val="center"/>
    </w:pPr>
    <w:rPr>
      <w:rFonts w:eastAsia="Times New Roman"/>
      <w:snapToGrid w:val="0"/>
      <w:sz w:val="16"/>
      <w:szCs w:val="16"/>
      <w:lang w:val="en-US" w:eastAsia="en-US"/>
    </w:rPr>
  </w:style>
  <w:style w:type="character" w:customStyle="1" w:styleId="A00">
    <w:name w:val="A0"/>
    <w:uiPriority w:val="99"/>
    <w:rsid w:val="00E05BFE"/>
    <w:rPr>
      <w:b/>
      <w:bCs/>
      <w:color w:val="000000"/>
      <w:sz w:val="18"/>
      <w:szCs w:val="18"/>
    </w:rPr>
  </w:style>
  <w:style w:type="paragraph" w:customStyle="1" w:styleId="Author">
    <w:name w:val="Author"/>
    <w:autoRedefine/>
    <w:rsid w:val="00E05BFE"/>
    <w:pPr>
      <w:snapToGrid w:val="0"/>
      <w:spacing w:after="120" w:line="240" w:lineRule="auto"/>
      <w:jc w:val="center"/>
    </w:pPr>
    <w:rPr>
      <w:rFonts w:eastAsia="PMingLiU"/>
      <w:kern w:val="2"/>
      <w:sz w:val="24"/>
      <w:szCs w:val="24"/>
      <w:lang w:val="en-GB" w:eastAsia="zh-TW"/>
    </w:rPr>
  </w:style>
  <w:style w:type="paragraph" w:styleId="affc">
    <w:name w:val="Body Text"/>
    <w:basedOn w:val="a"/>
    <w:link w:val="affd"/>
    <w:rsid w:val="00E05BFE"/>
    <w:pPr>
      <w:widowControl w:val="0"/>
      <w:spacing w:after="0" w:line="240" w:lineRule="auto"/>
      <w:jc w:val="both"/>
    </w:pPr>
    <w:rPr>
      <w:rFonts w:eastAsia="Times New Roman"/>
      <w:snapToGrid w:val="0"/>
      <w:szCs w:val="20"/>
      <w:lang w:val="en-US" w:eastAsia="en-US"/>
    </w:rPr>
  </w:style>
  <w:style w:type="character" w:customStyle="1" w:styleId="affd">
    <w:name w:val="Основной текст Знак"/>
    <w:basedOn w:val="a0"/>
    <w:link w:val="affc"/>
    <w:rsid w:val="00E05BFE"/>
    <w:rPr>
      <w:rFonts w:eastAsia="Times New Roman"/>
      <w:snapToGrid w:val="0"/>
      <w:szCs w:val="20"/>
      <w:lang w:val="en-US" w:eastAsia="en-US"/>
    </w:rPr>
  </w:style>
  <w:style w:type="paragraph" w:customStyle="1" w:styleId="IGC2017-Title">
    <w:name w:val="IGC2017-Title"/>
    <w:basedOn w:val="a"/>
    <w:autoRedefine/>
    <w:qFormat/>
    <w:rsid w:val="00E05BFE"/>
    <w:pPr>
      <w:widowControl w:val="0"/>
      <w:spacing w:before="220" w:after="240" w:line="240" w:lineRule="auto"/>
      <w:jc w:val="center"/>
    </w:pPr>
    <w:rPr>
      <w:rFonts w:ascii="Arial" w:eastAsia="Times New Roman" w:hAnsi="Arial" w:cs="Arial"/>
      <w:b/>
      <w:snapToGrid w:val="0"/>
      <w:sz w:val="28"/>
      <w:szCs w:val="24"/>
      <w:lang w:val="en-US" w:eastAsia="en-US"/>
    </w:rPr>
  </w:style>
  <w:style w:type="paragraph" w:customStyle="1" w:styleId="Keywords">
    <w:name w:val="Keywords"/>
    <w:basedOn w:val="a"/>
    <w:uiPriority w:val="29"/>
    <w:qFormat/>
    <w:rsid w:val="00E05BFE"/>
    <w:pPr>
      <w:widowControl w:val="0"/>
      <w:spacing w:after="120" w:line="240" w:lineRule="auto"/>
      <w:jc w:val="both"/>
    </w:pPr>
    <w:rPr>
      <w:rFonts w:eastAsia="Times New Roman"/>
      <w:i/>
      <w:snapToGrid w:val="0"/>
      <w:sz w:val="18"/>
      <w:szCs w:val="16"/>
      <w:lang w:val="en-US" w:eastAsia="en-US"/>
    </w:rPr>
  </w:style>
  <w:style w:type="paragraph" w:customStyle="1" w:styleId="IGC2017-Abstractbodytext">
    <w:name w:val="IGC2017-Abstract body text"/>
    <w:basedOn w:val="a"/>
    <w:uiPriority w:val="29"/>
    <w:qFormat/>
    <w:rsid w:val="00E05BFE"/>
    <w:pPr>
      <w:widowControl w:val="0"/>
      <w:spacing w:after="120" w:line="240" w:lineRule="auto"/>
      <w:jc w:val="both"/>
    </w:pPr>
    <w:rPr>
      <w:rFonts w:eastAsia="Times New Roman"/>
      <w:snapToGrid w:val="0"/>
      <w:sz w:val="18"/>
      <w:szCs w:val="16"/>
      <w:lang w:val="en-US" w:eastAsia="en-US"/>
    </w:rPr>
  </w:style>
  <w:style w:type="paragraph" w:customStyle="1" w:styleId="Autor1">
    <w:name w:val="Autor1"/>
    <w:basedOn w:val="a"/>
    <w:autoRedefine/>
    <w:rsid w:val="00E05BFE"/>
    <w:pPr>
      <w:widowControl w:val="0"/>
      <w:spacing w:after="0" w:line="240" w:lineRule="auto"/>
      <w:jc w:val="center"/>
    </w:pPr>
    <w:rPr>
      <w:rFonts w:eastAsia="Times New Roman"/>
      <w:snapToGrid w:val="0"/>
      <w:szCs w:val="18"/>
      <w:lang w:val="en-US" w:eastAsia="pt-BR"/>
    </w:rPr>
  </w:style>
  <w:style w:type="paragraph" w:customStyle="1" w:styleId="EndNoteBibliographyTitle">
    <w:name w:val="EndNote Bibliography Title"/>
    <w:basedOn w:val="a"/>
    <w:link w:val="EndNoteBibliographyTitleChar"/>
    <w:rsid w:val="00E05BFE"/>
    <w:pPr>
      <w:widowControl w:val="0"/>
      <w:spacing w:after="0" w:line="240" w:lineRule="auto"/>
      <w:jc w:val="center"/>
    </w:pPr>
    <w:rPr>
      <w:rFonts w:eastAsia="Calibri"/>
      <w:noProof/>
      <w:snapToGrid w:val="0"/>
      <w:szCs w:val="20"/>
      <w:lang w:val="en-US" w:eastAsia="en-US"/>
    </w:rPr>
  </w:style>
  <w:style w:type="character" w:customStyle="1" w:styleId="EndNoteBibliographyTitleChar">
    <w:name w:val="EndNote Bibliography Title Char"/>
    <w:basedOn w:val="af7"/>
    <w:link w:val="EndNoteBibliographyTitle"/>
    <w:rsid w:val="00E05BFE"/>
    <w:rPr>
      <w:rFonts w:eastAsia="Calibri"/>
      <w:noProof/>
      <w:snapToGrid w:val="0"/>
      <w:szCs w:val="20"/>
      <w:lang w:val="en-US" w:eastAsia="en-US"/>
    </w:rPr>
  </w:style>
  <w:style w:type="paragraph" w:customStyle="1" w:styleId="EndNoteBibliography">
    <w:name w:val="EndNote Bibliography"/>
    <w:basedOn w:val="a"/>
    <w:link w:val="EndNoteBibliographyChar"/>
    <w:rsid w:val="00E05BFE"/>
    <w:pPr>
      <w:widowControl w:val="0"/>
      <w:spacing w:after="0" w:line="240" w:lineRule="auto"/>
      <w:jc w:val="both"/>
    </w:pPr>
    <w:rPr>
      <w:rFonts w:eastAsia="Calibri"/>
      <w:noProof/>
      <w:snapToGrid w:val="0"/>
      <w:szCs w:val="20"/>
      <w:lang w:val="en-US" w:eastAsia="en-US"/>
    </w:rPr>
  </w:style>
  <w:style w:type="character" w:customStyle="1" w:styleId="EndNoteBibliographyChar">
    <w:name w:val="EndNote Bibliography Char"/>
    <w:basedOn w:val="af7"/>
    <w:link w:val="EndNoteBibliography"/>
    <w:rsid w:val="00E05BFE"/>
    <w:rPr>
      <w:rFonts w:eastAsia="Calibri"/>
      <w:noProof/>
      <w:snapToGrid w:val="0"/>
      <w:szCs w:val="20"/>
      <w:lang w:val="en-US" w:eastAsia="en-US"/>
    </w:rPr>
  </w:style>
  <w:style w:type="character" w:styleId="affe">
    <w:name w:val="Placeholder Text"/>
    <w:basedOn w:val="a0"/>
    <w:uiPriority w:val="99"/>
    <w:semiHidden/>
    <w:rsid w:val="00E05BFE"/>
    <w:rPr>
      <w:color w:val="808080"/>
    </w:rPr>
  </w:style>
  <w:style w:type="paragraph" w:styleId="afff">
    <w:name w:val="TOC Heading"/>
    <w:basedOn w:val="1"/>
    <w:next w:val="a"/>
    <w:uiPriority w:val="39"/>
    <w:semiHidden/>
    <w:unhideWhenUsed/>
    <w:qFormat/>
    <w:rsid w:val="00E05BFE"/>
    <w:pPr>
      <w:widowControl/>
      <w:pBdr>
        <w:top w:val="single" w:sz="24" w:space="0" w:color="943634"/>
        <w:left w:val="single" w:sz="24" w:space="0" w:color="943634"/>
        <w:bottom w:val="single" w:sz="24" w:space="0" w:color="943634"/>
        <w:right w:val="single" w:sz="24" w:space="0" w:color="943634"/>
      </w:pBdr>
      <w:shd w:val="clear" w:color="auto" w:fill="943634"/>
      <w:suppressAutoHyphens w:val="0"/>
      <w:spacing w:after="480" w:line="276" w:lineRule="auto"/>
      <w:ind w:left="270" w:hanging="270"/>
      <w:outlineLvl w:val="9"/>
    </w:pPr>
    <w:rPr>
      <w:rFonts w:ascii="Calibri" w:hAnsi="Calibri"/>
      <w:bCs/>
      <w:snapToGrid/>
      <w:color w:val="FFFFFF"/>
      <w:spacing w:val="15"/>
      <w:szCs w:val="22"/>
    </w:rPr>
  </w:style>
  <w:style w:type="paragraph" w:styleId="afff0">
    <w:name w:val="Revision"/>
    <w:hidden/>
    <w:uiPriority w:val="99"/>
    <w:semiHidden/>
    <w:rsid w:val="00E05BFE"/>
    <w:pPr>
      <w:spacing w:after="0" w:line="240" w:lineRule="auto"/>
    </w:pPr>
    <w:rPr>
      <w:rFonts w:ascii="Calibri" w:eastAsia="Times New Roman" w:hAnsi="Calibri"/>
      <w:sz w:val="24"/>
      <w:szCs w:val="20"/>
      <w:lang w:val="en-US" w:eastAsia="en-US"/>
    </w:rPr>
  </w:style>
  <w:style w:type="table" w:customStyle="1" w:styleId="MediumShading1-Accent11">
    <w:name w:val="Medium Shading 1 - Accent 11"/>
    <w:basedOn w:val="a1"/>
    <w:uiPriority w:val="63"/>
    <w:rsid w:val="00E05BFE"/>
    <w:pPr>
      <w:spacing w:after="0" w:line="240" w:lineRule="auto"/>
    </w:pPr>
    <w:rPr>
      <w:rFonts w:ascii="Calibri" w:eastAsia="Times New Roman" w:hAnsi="Calibri"/>
      <w:sz w:val="20"/>
      <w:szCs w:val="20"/>
      <w:lang w:val="en-IN" w:eastAsia="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a1"/>
    <w:uiPriority w:val="60"/>
    <w:rsid w:val="00E05BFE"/>
    <w:pPr>
      <w:spacing w:after="0" w:line="240" w:lineRule="auto"/>
    </w:pPr>
    <w:rPr>
      <w:rFonts w:ascii="Calibri" w:eastAsia="Times New Roman" w:hAnsi="Calibri"/>
      <w:color w:val="365F91"/>
      <w:sz w:val="20"/>
      <w:szCs w:val="20"/>
      <w:lang w:val="en-IN"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ff1">
    <w:name w:val="FollowedHyperlink"/>
    <w:basedOn w:val="a0"/>
    <w:uiPriority w:val="99"/>
    <w:semiHidden/>
    <w:unhideWhenUsed/>
    <w:rsid w:val="00E05BFE"/>
    <w:rPr>
      <w:color w:val="800080"/>
      <w:u w:val="single"/>
    </w:rPr>
  </w:style>
  <w:style w:type="table" w:customStyle="1" w:styleId="LightList-Accent11">
    <w:name w:val="Light List - Accent 11"/>
    <w:basedOn w:val="a1"/>
    <w:uiPriority w:val="61"/>
    <w:rsid w:val="00E05BFE"/>
    <w:pPr>
      <w:spacing w:after="0" w:line="240" w:lineRule="auto"/>
    </w:pPr>
    <w:rPr>
      <w:rFonts w:ascii="Calibri" w:eastAsia="Times New Roman" w:hAnsi="Calibri"/>
      <w:sz w:val="20"/>
      <w:szCs w:val="20"/>
      <w:lang w:val="en-IN"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ff2">
    <w:name w:val="line number"/>
    <w:basedOn w:val="a0"/>
    <w:uiPriority w:val="99"/>
    <w:semiHidden/>
    <w:unhideWhenUsed/>
    <w:rsid w:val="00E05BFE"/>
  </w:style>
  <w:style w:type="character" w:styleId="afff3">
    <w:name w:val="endnote reference"/>
    <w:basedOn w:val="a0"/>
    <w:uiPriority w:val="99"/>
    <w:semiHidden/>
    <w:unhideWhenUsed/>
    <w:rsid w:val="00E05BFE"/>
    <w:rPr>
      <w:vertAlign w:val="superscript"/>
    </w:rPr>
  </w:style>
  <w:style w:type="numbering" w:customStyle="1" w:styleId="41">
    <w:name w:val="Нет списка4"/>
    <w:next w:val="a2"/>
    <w:uiPriority w:val="99"/>
    <w:semiHidden/>
    <w:unhideWhenUsed/>
    <w:rsid w:val="00E05BFE"/>
  </w:style>
  <w:style w:type="numbering" w:customStyle="1" w:styleId="51">
    <w:name w:val="Нет списка5"/>
    <w:next w:val="a2"/>
    <w:uiPriority w:val="99"/>
    <w:semiHidden/>
    <w:unhideWhenUsed/>
    <w:rsid w:val="00E05BFE"/>
  </w:style>
  <w:style w:type="table" w:customStyle="1" w:styleId="33">
    <w:name w:val="Сетка таблицы3"/>
    <w:basedOn w:val="a1"/>
    <w:next w:val="af5"/>
    <w:uiPriority w:val="59"/>
    <w:rsid w:val="00E05BFE"/>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E05BFE"/>
  </w:style>
  <w:style w:type="character" w:customStyle="1" w:styleId="contrib">
    <w:name w:val="contrib"/>
    <w:basedOn w:val="a0"/>
    <w:rsid w:val="00E05BFE"/>
  </w:style>
  <w:style w:type="character" w:customStyle="1" w:styleId="separator">
    <w:name w:val="separator"/>
    <w:basedOn w:val="a0"/>
    <w:rsid w:val="00E05BFE"/>
  </w:style>
  <w:style w:type="paragraph" w:customStyle="1" w:styleId="Tablecaption">
    <w:name w:val="Table caption"/>
    <w:basedOn w:val="a"/>
    <w:next w:val="a"/>
    <w:rsid w:val="00E05BFE"/>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character" w:customStyle="1" w:styleId="FootnoteCharacters">
    <w:name w:val="Footnote Characters"/>
    <w:basedOn w:val="a0"/>
    <w:semiHidden/>
    <w:qFormat/>
    <w:rsid w:val="00E05BFE"/>
    <w:rPr>
      <w:vertAlign w:val="superscript"/>
    </w:rPr>
  </w:style>
  <w:style w:type="character" w:customStyle="1" w:styleId="InternetLink">
    <w:name w:val="Internet Link"/>
    <w:basedOn w:val="a0"/>
    <w:rsid w:val="00E05BFE"/>
    <w:rPr>
      <w:color w:val="0000FF"/>
      <w:u w:val="single"/>
    </w:rPr>
  </w:style>
  <w:style w:type="paragraph" w:customStyle="1" w:styleId="afff4">
    <w:name w:val="Литература"/>
    <w:basedOn w:val="a"/>
    <w:link w:val="afff5"/>
    <w:qFormat/>
    <w:rsid w:val="00E05BFE"/>
    <w:pPr>
      <w:widowControl w:val="0"/>
      <w:spacing w:after="120" w:line="240" w:lineRule="auto"/>
      <w:jc w:val="both"/>
    </w:pPr>
    <w:rPr>
      <w:rFonts w:eastAsia="Calibri"/>
      <w:snapToGrid w:val="0"/>
      <w:color w:val="000000"/>
      <w:sz w:val="20"/>
      <w:szCs w:val="20"/>
      <w:lang w:val="en-US" w:eastAsia="en-US" w:bidi="en-US"/>
    </w:rPr>
  </w:style>
  <w:style w:type="character" w:customStyle="1" w:styleId="afff5">
    <w:name w:val="Литература Знак"/>
    <w:basedOn w:val="a0"/>
    <w:link w:val="afff4"/>
    <w:rsid w:val="00E05BFE"/>
    <w:rPr>
      <w:rFonts w:eastAsia="Calibri"/>
      <w:snapToGrid w:val="0"/>
      <w:color w:val="000000"/>
      <w:sz w:val="20"/>
      <w:szCs w:val="20"/>
      <w:lang w:val="en-US" w:eastAsia="en-US" w:bidi="en-US"/>
    </w:rPr>
  </w:style>
  <w:style w:type="character" w:customStyle="1" w:styleId="af0">
    <w:name w:val="Название объекта Знак"/>
    <w:basedOn w:val="a0"/>
    <w:link w:val="af"/>
    <w:rsid w:val="00E05BFE"/>
    <w:rPr>
      <w:rFonts w:eastAsia="Times New Roman"/>
      <w:snapToGrid w:val="0"/>
      <w:sz w:val="20"/>
      <w:szCs w:val="24"/>
      <w:lang w:val="en-US" w:eastAsia="en-US"/>
    </w:rPr>
  </w:style>
  <w:style w:type="paragraph" w:styleId="af1">
    <w:name w:val="Title"/>
    <w:basedOn w:val="a"/>
    <w:next w:val="a"/>
    <w:link w:val="19"/>
    <w:uiPriority w:val="10"/>
    <w:qFormat/>
    <w:rsid w:val="00E05B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9">
    <w:name w:val="Название Знак1"/>
    <w:basedOn w:val="a0"/>
    <w:link w:val="af1"/>
    <w:uiPriority w:val="10"/>
    <w:rsid w:val="00E05BFE"/>
    <w:rPr>
      <w:rFonts w:asciiTheme="majorHAnsi" w:eastAsiaTheme="majorEastAsia" w:hAnsiTheme="majorHAnsi" w:cstheme="majorBidi"/>
      <w:color w:val="17365D" w:themeColor="text2" w:themeShade="BF"/>
      <w:spacing w:val="5"/>
      <w:kern w:val="28"/>
      <w:sz w:val="52"/>
      <w:szCs w:val="52"/>
    </w:rPr>
  </w:style>
  <w:style w:type="character" w:styleId="afff6">
    <w:name w:val="Hyperlink"/>
    <w:basedOn w:val="a0"/>
    <w:uiPriority w:val="99"/>
    <w:semiHidden/>
    <w:unhideWhenUsed/>
    <w:rsid w:val="00E05B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mailto:emailaddress@canterbury.ac.nz" TargetMode="External"/><Relationship Id="rId2" Type="http://schemas.openxmlformats.org/officeDocument/2006/relationships/hyperlink" Target="mailto:sourabh.vern@gmail.com" TargetMode="External"/><Relationship Id="rId1" Type="http://schemas.openxmlformats.org/officeDocument/2006/relationships/hyperlink" Target="mailto:vrsgec2011@gmail.com" TargetMode="External"/><Relationship Id="rId5" Type="http://schemas.openxmlformats.org/officeDocument/2006/relationships/hyperlink" Target="mailto:tushar_k_datta@yahoo.com" TargetMode="External"/><Relationship Id="rId4" Type="http://schemas.openxmlformats.org/officeDocument/2006/relationships/hyperlink" Target="mailto:sdbharti@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6490</Words>
  <Characters>36993</Characters>
  <Application>Microsoft Office Word</Application>
  <DocSecurity>0</DocSecurity>
  <Lines>308</Lines>
  <Paragraphs>86</Paragraphs>
  <ScaleCrop>false</ScaleCrop>
  <Company>diakov.net</Company>
  <LinksUpToDate>false</LinksUpToDate>
  <CharactersWithSpaces>43397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2020-06-27T17:45:00Z</dcterms:created>
  <dcterms:modified xsi:type="dcterms:W3CDTF">2021-05-12T15:25:00Z</dcterms:modified>
</cp:coreProperties>
</file>